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59" w:before="0" w:afterAutospacing="0" w:after="0"/>
        <w:ind w:hanging="0" w:start="1985"/>
        <w:jc w:val="end"/>
        <w:textAlignment w:val="auto"/>
        <w:rPr>
          <w:rFonts w:ascii="Arial" w:hAnsi="Arial" w:cs="Arial"/>
        </w:rPr>
      </w:pPr>
      <w:r>
        <w:rPr>
          <w:rFonts w:cs="Arial" w:ascii="Arial" w:hAnsi="Arial"/>
        </w:rPr>
        <w:t xml:space="preserve">                           </w:t>
      </w:r>
      <w:r>
        <w:rPr>
          <w:rFonts w:cs="Arial" w:ascii="Arial" w:hAnsi="Arial"/>
        </w:rPr>
        <w:t>Priedas Nr. 1</w:t>
      </w:r>
    </w:p>
    <w:p>
      <w:pPr>
        <w:pStyle w:val="Normal"/>
        <w:spacing w:lineRule="auto" w:line="259" w:before="0" w:afterAutospacing="0" w:after="0"/>
        <w:ind w:hanging="0" w:start="1985"/>
        <w:jc w:val="end"/>
        <w:textAlignment w:val="auto"/>
        <w:rPr>
          <w:rFonts w:ascii="Arial" w:hAnsi="Arial" w:cs="Arial"/>
        </w:rPr>
      </w:pPr>
      <w:r>
        <w:rPr>
          <w:rFonts w:cs="Arial" w:ascii="Arial" w:hAnsi="Arial"/>
        </w:rPr>
      </w:r>
    </w:p>
    <w:p>
      <w:pPr>
        <w:pStyle w:val="Normal"/>
        <w:spacing w:before="0" w:afterAutospacing="0" w:after="0"/>
        <w:ind w:hanging="0"/>
        <w:jc w:val="center"/>
        <w:textAlignment w:val="auto"/>
        <w:rPr>
          <w:rFonts w:ascii="Arial" w:hAnsi="Arial" w:eastAsia="Times New Roman" w:cs="Arial"/>
          <w:b/>
          <w:bCs/>
          <w:lang w:eastAsia="lt-LT"/>
        </w:rPr>
      </w:pPr>
      <w:bookmarkStart w:id="0" w:name="_Hlk103167460"/>
      <w:bookmarkEnd w:id="0"/>
      <w:r>
        <w:rPr>
          <w:rFonts w:eastAsia="Times New Roman" w:cs="Arial" w:ascii="Arial" w:hAnsi="Arial"/>
          <w:b/>
          <w:bCs/>
          <w:lang w:eastAsia="lt-LT"/>
        </w:rPr>
        <w:t xml:space="preserve">XXS DYDŽIO MAŽŲ MEDKIRTĖS IR MEDVEŽĖS KOMPLEKTO BEI JŲ TECHNINIO APTARNAVIMO IR REMONTO PASLAUGŲ PIRKIMUI </w:t>
      </w:r>
    </w:p>
    <w:p>
      <w:pPr>
        <w:pStyle w:val="Normal"/>
        <w:spacing w:before="0" w:afterAutospacing="0" w:after="0"/>
        <w:ind w:hanging="0"/>
        <w:jc w:val="center"/>
        <w:textAlignment w:val="auto"/>
        <w:rPr>
          <w:rFonts w:ascii="Arial" w:hAnsi="Arial" w:eastAsia="Times New Roman" w:cs="Arial"/>
          <w:b/>
          <w:bCs/>
          <w:lang w:eastAsia="lt-LT"/>
        </w:rPr>
      </w:pPr>
      <w:r>
        <w:rPr>
          <w:rFonts w:eastAsia="Times New Roman" w:cs="Arial" w:ascii="Arial" w:hAnsi="Arial"/>
          <w:b/>
          <w:bCs/>
          <w:lang w:eastAsia="lt-LT"/>
        </w:rPr>
      </w:r>
    </w:p>
    <w:p>
      <w:pPr>
        <w:pStyle w:val="Normal"/>
        <w:spacing w:before="0" w:afterAutospacing="0" w:after="0"/>
        <w:ind w:hanging="0"/>
        <w:jc w:val="center"/>
        <w:textAlignment w:val="auto"/>
        <w:rPr>
          <w:rFonts w:ascii="Arial" w:hAnsi="Arial" w:eastAsia="Times New Roman" w:cs="Arial"/>
          <w:b/>
          <w:bCs/>
          <w:color w:themeColor="text1" w:val="000000"/>
          <w:lang w:eastAsia="lt-LT"/>
        </w:rPr>
      </w:pPr>
      <w:r>
        <w:rPr>
          <w:rFonts w:eastAsia="Times New Roman" w:cs="Arial" w:ascii="Arial" w:hAnsi="Arial"/>
          <w:b/>
          <w:bCs/>
          <w:lang w:eastAsia="lt-LT"/>
        </w:rPr>
        <w:t xml:space="preserve">XXS dydžio mažos medkirtės </w:t>
      </w:r>
      <w:r>
        <w:rPr>
          <w:rFonts w:eastAsia="Times New Roman" w:cs="Arial" w:ascii="Arial" w:hAnsi="Arial"/>
          <w:b/>
          <w:bCs/>
          <w:color w:themeColor="text1" w:val="000000"/>
          <w:lang w:eastAsia="lt-LT"/>
        </w:rPr>
        <w:t>ir jos techninio aptarnavimo bei remonto paslaugų pirkimo techninė specifikacija</w:t>
      </w:r>
    </w:p>
    <w:p>
      <w:pPr>
        <w:pStyle w:val="Normal"/>
        <w:spacing w:before="0" w:afterAutospacing="0" w:after="0"/>
        <w:ind w:hanging="0"/>
        <w:jc w:val="center"/>
        <w:textAlignment w:val="auto"/>
        <w:rPr>
          <w:rFonts w:ascii="Arial" w:hAnsi="Arial" w:eastAsia="Times New Roman" w:cs="Arial"/>
          <w:b/>
          <w:bCs/>
          <w:color w:themeColor="text1" w:val="000000"/>
          <w:lang w:eastAsia="lt-LT"/>
        </w:rPr>
      </w:pPr>
      <w:r>
        <w:rPr>
          <w:rFonts w:eastAsia="Times New Roman" w:cs="Arial" w:ascii="Arial" w:hAnsi="Arial"/>
          <w:b/>
          <w:bCs/>
          <w:color w:themeColor="text1" w:val="000000"/>
          <w:lang w:eastAsia="lt-LT"/>
        </w:rPr>
      </w:r>
    </w:p>
    <w:tbl>
      <w:tblPr>
        <w:tblStyle w:val="Lentelstinklelis3"/>
        <w:tblW w:w="10060"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846"/>
        <w:gridCol w:w="6519"/>
        <w:gridCol w:w="2695"/>
      </w:tblGrid>
      <w:tr>
        <w:trPr/>
        <w:tc>
          <w:tcPr>
            <w:tcW w:w="846" w:type="dxa"/>
            <w:tcBorders/>
            <w:vAlign w:val="center"/>
          </w:tcPr>
          <w:p>
            <w:pPr>
              <w:pStyle w:val="Normal"/>
              <w:widowControl/>
              <w:spacing w:before="0" w:afterAutospacing="0" w:after="0"/>
              <w:ind w:hanging="0"/>
              <w:jc w:val="both"/>
              <w:textAlignment w:val="auto"/>
              <w:rPr>
                <w:rFonts w:ascii="Arial" w:hAnsi="Arial" w:cs="Arial"/>
                <w:b/>
                <w:lang w:val="lt-LT"/>
              </w:rPr>
            </w:pPr>
            <w:r>
              <w:rPr>
                <w:rFonts w:eastAsia="Calibri" w:cs="Arial" w:ascii="Arial" w:hAnsi="Arial"/>
                <w:b/>
                <w:color w:val="000000"/>
                <w:kern w:val="0"/>
                <w:sz w:val="22"/>
                <w:szCs w:val="22"/>
                <w:lang w:val="lt-LT" w:eastAsia="en-US" w:bidi="ar-SA"/>
              </w:rPr>
              <w:t>Eil. Nr.</w:t>
            </w:r>
          </w:p>
        </w:tc>
        <w:tc>
          <w:tcPr>
            <w:tcW w:w="6519" w:type="dxa"/>
            <w:tcBorders/>
            <w:vAlign w:val="center"/>
          </w:tcPr>
          <w:p>
            <w:pPr>
              <w:pStyle w:val="Normal"/>
              <w:widowControl/>
              <w:spacing w:before="0" w:afterAutospacing="0" w:after="0"/>
              <w:ind w:hanging="0"/>
              <w:jc w:val="both"/>
              <w:textAlignment w:val="auto"/>
              <w:rPr>
                <w:rFonts w:ascii="Arial" w:hAnsi="Arial" w:cs="Arial"/>
                <w:b/>
                <w:iCs/>
                <w:color w:val="000000"/>
                <w:lang w:val="lt-LT"/>
              </w:rPr>
            </w:pPr>
            <w:r>
              <w:rPr>
                <w:rFonts w:eastAsia="Times New Roman" w:cs="Arial" w:ascii="Arial" w:hAnsi="Arial"/>
                <w:b/>
                <w:bCs/>
                <w:kern w:val="0"/>
                <w:sz w:val="22"/>
                <w:szCs w:val="22"/>
                <w:lang w:val="lt-LT" w:eastAsia="lt-LT" w:bidi="ar-SA"/>
              </w:rPr>
              <w:t xml:space="preserve">XXS dydžio </w:t>
            </w:r>
            <w:r>
              <w:rPr>
                <w:rFonts w:eastAsia="Calibri" w:cs="Arial" w:ascii="Arial" w:hAnsi="Arial"/>
                <w:b/>
                <w:bCs/>
                <w:kern w:val="0"/>
                <w:sz w:val="22"/>
                <w:szCs w:val="22"/>
                <w:lang w:val="lt-LT" w:eastAsia="en-US" w:bidi="ar-SA"/>
              </w:rPr>
              <w:t>mažos medkirtės techniniai rodikliai</w:t>
            </w:r>
            <w:r>
              <w:rPr>
                <w:rFonts w:eastAsia="Calibri" w:cs="Arial" w:ascii="Arial" w:hAnsi="Arial"/>
                <w:b/>
                <w:bCs/>
                <w:iCs/>
                <w:color w:val="000000"/>
                <w:kern w:val="0"/>
                <w:sz w:val="22"/>
                <w:szCs w:val="22"/>
                <w:lang w:val="lt-LT" w:eastAsia="en-US" w:bidi="ar-SA"/>
              </w:rPr>
              <w:t xml:space="preserve"> </w:t>
            </w:r>
            <w:r>
              <w:rPr>
                <w:rFonts w:eastAsia="Calibri" w:cs="Arial" w:ascii="Arial" w:hAnsi="Arial"/>
                <w:b/>
                <w:iCs/>
                <w:color w:val="000000"/>
                <w:kern w:val="0"/>
                <w:sz w:val="22"/>
                <w:szCs w:val="22"/>
                <w:lang w:val="lt-LT" w:eastAsia="en-US" w:bidi="ar-SA"/>
              </w:rPr>
              <w:t>ir jų minimalūs reikalavimai</w:t>
            </w:r>
            <w:r>
              <w:rPr>
                <w:rFonts w:eastAsia="Calibri" w:cs="Arial" w:ascii="Arial" w:hAnsi="Arial"/>
                <w:kern w:val="0"/>
                <w:sz w:val="22"/>
                <w:szCs w:val="22"/>
                <w:lang w:val="lt-LT" w:eastAsia="en-US" w:bidi="ar-SA"/>
              </w:rPr>
              <w:t xml:space="preserve"> </w:t>
            </w:r>
          </w:p>
          <w:p>
            <w:pPr>
              <w:pStyle w:val="Normal"/>
              <w:widowControl/>
              <w:spacing w:before="0" w:afterAutospacing="0" w:after="0"/>
              <w:ind w:hanging="0"/>
              <w:jc w:val="both"/>
              <w:textAlignment w:val="auto"/>
              <w:rPr>
                <w:rFonts w:ascii="Arial" w:hAnsi="Arial" w:cs="Arial"/>
                <w:b/>
                <w:bCs/>
                <w:lang w:val="lt-LT"/>
              </w:rPr>
            </w:pPr>
            <w:r>
              <w:rPr>
                <w:rFonts w:eastAsia="Calibri" w:cs="Arial" w:ascii="Arial" w:hAnsi="Arial"/>
                <w:b/>
                <w:bCs/>
                <w:kern w:val="0"/>
                <w:sz w:val="22"/>
                <w:szCs w:val="22"/>
                <w:lang w:val="lt-LT" w:eastAsia="en-US" w:bidi="ar-SA"/>
              </w:rPr>
            </w:r>
          </w:p>
        </w:tc>
        <w:tc>
          <w:tcPr>
            <w:tcW w:w="2695" w:type="dxa"/>
            <w:tcBorders/>
          </w:tcPr>
          <w:p>
            <w:pPr>
              <w:pStyle w:val="Normal"/>
              <w:widowControl/>
              <w:spacing w:before="0" w:afterAutospacing="0" w:after="0"/>
              <w:ind w:hanging="0"/>
              <w:jc w:val="center"/>
              <w:textAlignment w:val="auto"/>
              <w:rPr>
                <w:rFonts w:ascii="Arial" w:hAnsi="Arial" w:eastAsia="Times New Roman" w:cs="Arial"/>
                <w:b/>
                <w:bCs/>
                <w:lang w:val="lt-LT" w:eastAsia="lt-LT"/>
              </w:rPr>
            </w:pPr>
            <w:r>
              <w:rPr>
                <w:rFonts w:eastAsia="Calibri" w:cs="Arial" w:ascii="Arial" w:hAnsi="Arial"/>
                <w:b/>
                <w:bCs/>
                <w:color w:val="FF0000"/>
                <w:kern w:val="0"/>
                <w:sz w:val="22"/>
                <w:szCs w:val="22"/>
                <w:lang w:val="lt-LT" w:eastAsia="en-US" w:bidi="ar-SA"/>
              </w:rPr>
              <w:t>Tiekėjo atsakymai/komentarai</w:t>
            </w:r>
          </w:p>
        </w:tc>
      </w:tr>
      <w:tr>
        <w:trPr>
          <w:trHeight w:val="170"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b/>
                <w:bCs/>
                <w:color w:val="000000"/>
                <w:kern w:val="0"/>
                <w:sz w:val="22"/>
                <w:szCs w:val="22"/>
                <w:lang w:val="lt-LT" w:eastAsia="en-US" w:bidi="ar-SA"/>
              </w:rPr>
              <w:t>1.</w:t>
            </w:r>
          </w:p>
        </w:tc>
        <w:tc>
          <w:tcPr>
            <w:tcW w:w="6519" w:type="dxa"/>
            <w:tcBorders/>
          </w:tcPr>
          <w:p>
            <w:pPr>
              <w:pStyle w:val="Normal"/>
              <w:widowControl/>
              <w:spacing w:before="0" w:afterAutospacing="0" w:after="0"/>
              <w:ind w:firstLine="1"/>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Bendri reikalavimai:</w:t>
            </w:r>
          </w:p>
        </w:tc>
        <w:tc>
          <w:tcPr>
            <w:tcW w:w="2695" w:type="dxa"/>
            <w:tcBorders/>
          </w:tcPr>
          <w:p>
            <w:pPr>
              <w:pStyle w:val="Normal"/>
              <w:widowControl/>
              <w:spacing w:before="0" w:afterAutospacing="0" w:after="0"/>
              <w:ind w:firstLine="1"/>
              <w:jc w:val="both"/>
              <w:textAlignment w:val="auto"/>
              <w:rPr>
                <w:rFonts w:ascii="Arial" w:hAnsi="Arial" w:eastAsia="Times New Roman" w:cs="Arial"/>
                <w:b/>
                <w:bCs/>
              </w:rPr>
            </w:pPr>
            <w:r>
              <w:rPr>
                <w:rFonts w:eastAsia="Times New Roman" w:cs="Arial" w:ascii="Arial" w:hAnsi="Arial"/>
                <w:b/>
                <w:bCs/>
                <w:kern w:val="0"/>
                <w:sz w:val="22"/>
                <w:szCs w:val="22"/>
                <w:lang w:val="en-GB" w:eastAsia="en-US" w:bidi="ar-SA"/>
              </w:rPr>
            </w:r>
          </w:p>
        </w:tc>
      </w:tr>
      <w:tr>
        <w:trPr>
          <w:trHeight w:val="593"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1.1.</w:t>
            </w:r>
          </w:p>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ratinė medkirtė –  nauja, neeksploatuota, 6</w:t>
            </w:r>
            <w:r>
              <w:rPr>
                <w:rFonts w:eastAsia="Times New Roman" w:cs="Arial" w:ascii="Arial" w:hAnsi="Arial"/>
                <w:color w:val="FF0000"/>
                <w:kern w:val="0"/>
                <w:sz w:val="22"/>
                <w:szCs w:val="22"/>
                <w:lang w:val="lt-LT" w:eastAsia="en-US" w:bidi="ar-SA"/>
              </w:rPr>
              <w:t xml:space="preserve"> </w:t>
            </w:r>
            <w:r>
              <w:rPr>
                <w:rFonts w:eastAsia="Times New Roman" w:cs="Arial" w:ascii="Arial" w:hAnsi="Arial"/>
                <w:kern w:val="0"/>
                <w:sz w:val="22"/>
                <w:szCs w:val="22"/>
                <w:lang w:val="lt-LT" w:eastAsia="en-US" w:bidi="ar-SA"/>
              </w:rPr>
              <w:t>ratų, lanksčiu rėmu, pagaminta ne anksčiau 2026 m., serijinės gamybos; Perkamas kiekis – 1 vnt.</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1.2.</w:t>
            </w:r>
          </w:p>
        </w:tc>
        <w:tc>
          <w:tcPr>
            <w:tcW w:w="6519"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 xml:space="preserve">medkirtė turi atitikti techninės specifikacijos ir Europos Sąjungos standartų reikalavimus, būtų pagaminta serijinėje gamyboje (ne vienetinis modelis). </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rHeight w:val="138"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b/>
                <w:bCs/>
                <w:color w:val="000000"/>
                <w:kern w:val="0"/>
                <w:sz w:val="22"/>
                <w:szCs w:val="22"/>
                <w:lang w:val="lt-LT" w:eastAsia="en-US" w:bidi="ar-SA"/>
              </w:rPr>
              <w:t>2.</w:t>
            </w:r>
          </w:p>
        </w:tc>
        <w:tc>
          <w:tcPr>
            <w:tcW w:w="6519" w:type="dxa"/>
            <w:tcBorders/>
          </w:tcPr>
          <w:p>
            <w:pPr>
              <w:pStyle w:val="Normal"/>
              <w:widowControl/>
              <w:spacing w:before="0" w:afterAutospacing="0" w:after="0"/>
              <w:ind w:firstLine="1"/>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Variklis:</w:t>
            </w:r>
          </w:p>
        </w:tc>
        <w:tc>
          <w:tcPr>
            <w:tcW w:w="2695" w:type="dxa"/>
            <w:tcBorders/>
          </w:tcPr>
          <w:p>
            <w:pPr>
              <w:pStyle w:val="Normal"/>
              <w:widowControl/>
              <w:spacing w:before="0" w:afterAutospacing="0" w:after="0"/>
              <w:ind w:firstLine="1"/>
              <w:jc w:val="both"/>
              <w:textAlignment w:val="auto"/>
              <w:rPr>
                <w:rFonts w:ascii="Arial" w:hAnsi="Arial" w:eastAsia="Times New Roman" w:cs="Arial"/>
                <w:b/>
                <w:bCs/>
              </w:rPr>
            </w:pPr>
            <w:r>
              <w:rPr>
                <w:rFonts w:eastAsia="Times New Roman" w:cs="Arial" w:ascii="Arial" w:hAnsi="Arial"/>
                <w:b/>
                <w:bCs/>
                <w:kern w:val="0"/>
                <w:sz w:val="22"/>
                <w:szCs w:val="22"/>
                <w:lang w:val="en-GB"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2.1.</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variklis ne mažiau 4 cilindrų turbo dyzelinis, atitinkantis 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 nuostatų įgyvendinimo“ (aktuali redakcija - (ES V etapo („EU Stage V“)) arba lygiaverčius standartus;</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rHeight w:val="183"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2.2.</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 xml:space="preserve">variklio galia, ne mažiau </w:t>
            </w:r>
            <w:r>
              <w:rPr>
                <w:rFonts w:eastAsia="Times New Roman" w:cs="Arial" w:ascii="Arial" w:hAnsi="Arial"/>
                <w:color w:themeColor="text1" w:val="000000"/>
                <w:kern w:val="0"/>
                <w:sz w:val="22"/>
                <w:szCs w:val="22"/>
                <w:lang w:val="lt-LT" w:eastAsia="en-US" w:bidi="ar-SA"/>
              </w:rPr>
              <w:t>55</w:t>
            </w:r>
            <w:r>
              <w:rPr>
                <w:rFonts w:eastAsia="Times New Roman" w:cs="Arial" w:ascii="Arial" w:hAnsi="Arial"/>
                <w:color w:val="FF0000"/>
                <w:kern w:val="0"/>
                <w:sz w:val="22"/>
                <w:szCs w:val="22"/>
                <w:lang w:val="lt-LT" w:eastAsia="en-US" w:bidi="ar-SA"/>
              </w:rPr>
              <w:t xml:space="preserve"> </w:t>
            </w:r>
            <w:r>
              <w:rPr>
                <w:rFonts w:eastAsia="Times New Roman" w:cs="Arial" w:ascii="Arial" w:hAnsi="Arial"/>
                <w:kern w:val="0"/>
                <w:sz w:val="22"/>
                <w:szCs w:val="22"/>
                <w:lang w:val="lt-LT" w:eastAsia="en-US" w:bidi="ar-SA"/>
              </w:rPr>
              <w:t>kW, esant 2000 - 2200 aps/min.;</w:t>
            </w:r>
          </w:p>
        </w:tc>
        <w:tc>
          <w:tcPr>
            <w:tcW w:w="2695" w:type="dxa"/>
            <w:tcBorders/>
          </w:tcPr>
          <w:p>
            <w:pPr>
              <w:pStyle w:val="Normal"/>
              <w:widowControl/>
              <w:spacing w:before="0" w:afterAutospacing="0" w:after="0"/>
              <w:ind w:firstLine="1"/>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rHeight w:val="258"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2.3.</w:t>
            </w:r>
          </w:p>
        </w:tc>
        <w:tc>
          <w:tcPr>
            <w:tcW w:w="6519"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sukimo momentas ne mažesnis kaip 300 Nm, esant 1600 aps/min.;</w:t>
            </w:r>
          </w:p>
        </w:tc>
        <w:tc>
          <w:tcPr>
            <w:tcW w:w="2695" w:type="dxa"/>
            <w:tcBorders/>
          </w:tcPr>
          <w:p>
            <w:pPr>
              <w:pStyle w:val="Normal"/>
              <w:widowControl/>
              <w:spacing w:before="0" w:afterAutospacing="0" w:after="0"/>
              <w:ind w:hanging="0"/>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2.4.</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variklio aušinimo skysčio ir hidraulinio tepalo dyzelinis šildytuvas, įjungiamas ir veikimo parametrai (veikimo pradžia ir pabaiga) reguliuojami nuotoliniu būdu per mobiliąją aplikaciją;</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rHeight w:val="254"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b/>
                <w:bCs/>
                <w:color w:val="000000"/>
                <w:kern w:val="0"/>
                <w:sz w:val="22"/>
                <w:szCs w:val="22"/>
                <w:lang w:val="lt-LT" w:eastAsia="en-US" w:bidi="ar-SA"/>
              </w:rPr>
              <w:t>3.</w:t>
            </w:r>
          </w:p>
        </w:tc>
        <w:tc>
          <w:tcPr>
            <w:tcW w:w="6519" w:type="dxa"/>
            <w:tcBorders/>
          </w:tcPr>
          <w:p>
            <w:pPr>
              <w:pStyle w:val="Normal"/>
              <w:widowControl/>
              <w:spacing w:before="0" w:afterAutospacing="0" w:after="0"/>
              <w:ind w:hanging="0"/>
              <w:jc w:val="both"/>
              <w:textAlignment w:val="auto"/>
              <w:rPr>
                <w:rFonts w:ascii="Arial" w:hAnsi="Arial" w:cs="Arial"/>
                <w:b/>
                <w:lang w:val="lt-LT"/>
              </w:rPr>
            </w:pPr>
            <w:r>
              <w:rPr>
                <w:rFonts w:eastAsia="Calibri" w:cs="Arial" w:ascii="Arial" w:hAnsi="Arial"/>
                <w:b/>
                <w:kern w:val="0"/>
                <w:sz w:val="22"/>
                <w:szCs w:val="22"/>
                <w:lang w:val="lt-LT" w:eastAsia="en-US" w:bidi="ar-SA"/>
              </w:rPr>
              <w:t>Kabina:</w:t>
            </w:r>
          </w:p>
        </w:tc>
        <w:tc>
          <w:tcPr>
            <w:tcW w:w="2695" w:type="dxa"/>
            <w:tcBorders/>
          </w:tcPr>
          <w:p>
            <w:pPr>
              <w:pStyle w:val="Normal"/>
              <w:widowControl/>
              <w:spacing w:before="0" w:afterAutospacing="0" w:after="0"/>
              <w:ind w:hanging="0"/>
              <w:jc w:val="both"/>
              <w:textAlignment w:val="auto"/>
              <w:rPr>
                <w:rFonts w:ascii="Arial" w:hAnsi="Arial" w:cs="Arial"/>
                <w:b/>
              </w:rPr>
            </w:pPr>
            <w:r>
              <w:rPr>
                <w:rFonts w:eastAsia="Calibri" w:cs="Arial" w:ascii="Arial" w:hAnsi="Arial"/>
                <w:b/>
                <w:kern w:val="0"/>
                <w:sz w:val="22"/>
                <w:szCs w:val="22"/>
                <w:lang w:val="en-GB" w:eastAsia="en-US" w:bidi="ar-SA"/>
              </w:rPr>
            </w:r>
          </w:p>
        </w:tc>
      </w:tr>
      <w:tr>
        <w:trPr>
          <w:trHeight w:val="168"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color w:val="000000"/>
                <w:kern w:val="0"/>
                <w:sz w:val="22"/>
                <w:szCs w:val="22"/>
                <w:lang w:val="lt-LT" w:eastAsia="en-US" w:bidi="ar-SA"/>
              </w:rPr>
              <w:t>3.1.</w:t>
            </w:r>
          </w:p>
        </w:tc>
        <w:tc>
          <w:tcPr>
            <w:tcW w:w="6519" w:type="dxa"/>
            <w:tcBorders/>
          </w:tcPr>
          <w:p>
            <w:pPr>
              <w:pStyle w:val="Normal"/>
              <w:widowControl/>
              <w:spacing w:before="0" w:afterAutospacing="0" w:after="0"/>
              <w:ind w:firstLine="1"/>
              <w:jc w:val="both"/>
              <w:textAlignment w:val="auto"/>
              <w:rPr>
                <w:rFonts w:ascii="Arial" w:hAnsi="Arial" w:eastAsia="Times New Roman" w:cs="Arial"/>
                <w:b/>
                <w:bCs/>
                <w:lang w:val="lt-LT"/>
              </w:rPr>
            </w:pPr>
            <w:r>
              <w:rPr>
                <w:rFonts w:eastAsia="Times New Roman" w:cs="Arial" w:ascii="Arial" w:hAnsi="Arial"/>
                <w:kern w:val="0"/>
                <w:sz w:val="22"/>
                <w:szCs w:val="22"/>
                <w:lang w:val="lt-LT" w:eastAsia="en-US" w:bidi="ar-SA"/>
              </w:rPr>
              <w:t>fiksuota kabina ir manipuliatorius ant atskirų platformų;</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rPr>
            </w:pPr>
            <w:r>
              <w:rPr>
                <w:rFonts w:eastAsia="Times New Roman" w:cs="Arial" w:ascii="Arial" w:hAnsi="Arial"/>
                <w:kern w:val="0"/>
                <w:sz w:val="22"/>
                <w:szCs w:val="22"/>
                <w:lang w:val="pt-BR" w:eastAsia="en-US" w:bidi="ar-SA"/>
              </w:rPr>
            </w:r>
          </w:p>
        </w:tc>
      </w:tr>
      <w:tr>
        <w:trPr>
          <w:trHeight w:val="168"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3.2.</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bCs/>
                <w:kern w:val="0"/>
                <w:sz w:val="22"/>
                <w:szCs w:val="22"/>
                <w:lang w:val="lt-LT" w:eastAsia="en-US" w:bidi="ar-SA"/>
              </w:rPr>
              <w:t>kabinos pakėlimas hidrauliniu mechanizmu;</w:t>
            </w:r>
          </w:p>
        </w:tc>
        <w:tc>
          <w:tcPr>
            <w:tcW w:w="2695" w:type="dxa"/>
            <w:tcBorders/>
          </w:tcPr>
          <w:p>
            <w:pPr>
              <w:pStyle w:val="Normal"/>
              <w:widowControl/>
              <w:spacing w:before="0" w:afterAutospacing="0" w:after="0"/>
              <w:ind w:firstLine="1"/>
              <w:jc w:val="both"/>
              <w:textAlignment w:val="auto"/>
              <w:rPr>
                <w:rFonts w:ascii="Arial" w:hAnsi="Arial" w:eastAsia="Times New Roman" w:cs="Arial"/>
                <w:bCs/>
                <w:sz w:val="24"/>
                <w:szCs w:val="24"/>
              </w:rPr>
            </w:pPr>
            <w:r>
              <w:rPr>
                <w:rFonts w:eastAsia="Times New Roman" w:cs="Arial" w:ascii="Arial" w:hAnsi="Arial"/>
                <w:bCs/>
                <w:kern w:val="0"/>
                <w:sz w:val="24"/>
                <w:szCs w:val="24"/>
                <w:lang w:val="en-GB" w:eastAsia="en-US" w:bidi="ar-SA"/>
              </w:rPr>
            </w:r>
          </w:p>
        </w:tc>
      </w:tr>
      <w:tr>
        <w:trPr>
          <w:trHeight w:val="128"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3.3.</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kabina su automatiniu oro kondicionieriumi;</w:t>
            </w:r>
          </w:p>
        </w:tc>
        <w:tc>
          <w:tcPr>
            <w:tcW w:w="2695" w:type="dxa"/>
            <w:tcBorders/>
          </w:tcPr>
          <w:p>
            <w:pPr>
              <w:pStyle w:val="Normal"/>
              <w:widowControl/>
              <w:spacing w:before="0" w:afterAutospacing="0" w:after="0"/>
              <w:ind w:firstLine="1"/>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3.4.</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kabina su smūgiams atspariais stiklais, privalo būti sertifikuota pagal ROPS, OPS, FOPS standartus arba lygiaverčius;</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3.5.</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saulę atspindinčios, nusileidžiančios užuolaidos arba skydeliai nuo saulės priekiniam, galiniam ir šoniniams stiklams;</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rHeight w:val="400"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3.6.</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stiklų valytuvai ant priekinio ir galinio stiklo;</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rPr>
            </w:pPr>
            <w:r>
              <w:rPr>
                <w:rFonts w:eastAsia="Times New Roman" w:cs="Arial" w:ascii="Arial" w:hAnsi="Arial"/>
                <w:kern w:val="0"/>
                <w:sz w:val="22"/>
                <w:szCs w:val="22"/>
                <w:lang w:val="pt-BR" w:eastAsia="en-US" w:bidi="ar-SA"/>
              </w:rPr>
            </w:r>
          </w:p>
        </w:tc>
      </w:tr>
      <w:tr>
        <w:trPr>
          <w:trHeight w:val="231"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3.7.</w:t>
            </w:r>
          </w:p>
        </w:tc>
        <w:tc>
          <w:tcPr>
            <w:tcW w:w="6519" w:type="dxa"/>
            <w:tcBorders/>
          </w:tcPr>
          <w:p>
            <w:pPr>
              <w:pStyle w:val="Normal"/>
              <w:widowControl/>
              <w:spacing w:before="0" w:afterAutospacing="0" w:after="0"/>
              <w:ind w:firstLine="1"/>
              <w:jc w:val="both"/>
              <w:textAlignment w:val="auto"/>
              <w:rPr>
                <w:rFonts w:ascii="Arial" w:hAnsi="Arial" w:eastAsia="Times New Roman" w:cs="Arial"/>
                <w:b/>
                <w:bCs/>
                <w:lang w:val="lt-LT"/>
              </w:rPr>
            </w:pPr>
            <w:r>
              <w:rPr>
                <w:rFonts w:eastAsia="Times New Roman" w:cs="Arial" w:ascii="Arial" w:hAnsi="Arial"/>
                <w:kern w:val="0"/>
                <w:sz w:val="22"/>
                <w:szCs w:val="22"/>
                <w:lang w:val="lt-LT" w:eastAsia="en-US" w:bidi="ar-SA"/>
              </w:rPr>
              <w:t>su porankiais, ant oro pagalvės, šildoma operatoriaus sėdyne, kurios pasisukimo kampas ne mažiau 200 laipsnių;</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EE0000"/>
              </w:rPr>
            </w:pPr>
            <w:r>
              <w:rPr>
                <w:rFonts w:eastAsia="Calibri" w:cs="Arial" w:ascii="Arial" w:hAnsi="Arial"/>
                <w:color w:val="000000"/>
                <w:kern w:val="0"/>
                <w:sz w:val="22"/>
                <w:szCs w:val="22"/>
                <w:lang w:val="lt-LT" w:eastAsia="en-US" w:bidi="ar-SA"/>
              </w:rPr>
              <w:t>3.8.</w:t>
            </w:r>
          </w:p>
        </w:tc>
        <w:tc>
          <w:tcPr>
            <w:tcW w:w="6519" w:type="dxa"/>
            <w:tcBorders/>
          </w:tcPr>
          <w:p>
            <w:pPr>
              <w:pStyle w:val="Normal"/>
              <w:widowControl/>
              <w:spacing w:before="0" w:afterAutospacing="0" w:after="0"/>
              <w:ind w:hanging="0"/>
              <w:jc w:val="both"/>
              <w:textAlignment w:val="auto"/>
              <w:rPr>
                <w:rFonts w:ascii="Arial" w:hAnsi="Arial" w:cs="Arial"/>
                <w:b/>
                <w:color w:val="EE0000"/>
              </w:rPr>
            </w:pPr>
            <w:r>
              <w:rPr>
                <w:rFonts w:eastAsia="Times New Roman" w:cs="Arial" w:ascii="Arial" w:hAnsi="Arial"/>
                <w:kern w:val="0"/>
                <w:sz w:val="22"/>
                <w:szCs w:val="22"/>
                <w:lang w:val="lt-LT" w:eastAsia="lt-LT" w:bidi="ar-SA"/>
              </w:rPr>
              <w:t>audiosistema;</w:t>
            </w:r>
          </w:p>
        </w:tc>
        <w:tc>
          <w:tcPr>
            <w:tcW w:w="2695" w:type="dxa"/>
            <w:tcBorders/>
          </w:tcPr>
          <w:p>
            <w:pPr>
              <w:pStyle w:val="Normal"/>
              <w:widowControl/>
              <w:spacing w:before="0" w:afterAutospacing="0" w:after="0"/>
              <w:ind w:hanging="0"/>
              <w:jc w:val="both"/>
              <w:textAlignment w:val="auto"/>
              <w:rPr>
                <w:rFonts w:ascii="Arial" w:hAnsi="Arial" w:cs="Arial"/>
                <w:bCs/>
              </w:rPr>
            </w:pPr>
            <w:r>
              <w:rPr>
                <w:rFonts w:eastAsia="Calibri" w:cs="Arial" w:ascii="Arial" w:hAnsi="Arial"/>
                <w:bCs/>
                <w:kern w:val="0"/>
                <w:sz w:val="22"/>
                <w:szCs w:val="22"/>
                <w:lang w:val="en-GB"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rPr>
            </w:pPr>
            <w:r>
              <w:rPr>
                <w:rFonts w:eastAsia="Calibri" w:cs="Arial" w:ascii="Arial" w:hAnsi="Arial"/>
                <w:kern w:val="0"/>
                <w:sz w:val="22"/>
                <w:szCs w:val="22"/>
                <w:lang w:val="en-GB" w:eastAsia="en-US" w:bidi="ar-SA"/>
              </w:rPr>
              <w:t>4.</w:t>
            </w:r>
          </w:p>
        </w:tc>
        <w:tc>
          <w:tcPr>
            <w:tcW w:w="6519" w:type="dxa"/>
            <w:tcBorders/>
          </w:tcPr>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
                <w:kern w:val="0"/>
                <w:sz w:val="22"/>
                <w:szCs w:val="22"/>
                <w:lang w:val="lt-LT" w:eastAsia="en-US" w:bidi="ar-SA"/>
              </w:rPr>
              <w:t>Valdymo ir informacijos sistemos:</w:t>
            </w:r>
          </w:p>
        </w:tc>
        <w:tc>
          <w:tcPr>
            <w:tcW w:w="2695" w:type="dxa"/>
            <w:tcBorders/>
          </w:tcPr>
          <w:p>
            <w:pPr>
              <w:pStyle w:val="Normal"/>
              <w:widowControl/>
              <w:spacing w:before="0" w:afterAutospacing="0" w:after="0"/>
              <w:ind w:hanging="0"/>
              <w:jc w:val="both"/>
              <w:textAlignment w:val="auto"/>
              <w:rPr>
                <w:rFonts w:ascii="Arial" w:hAnsi="Arial" w:cs="Arial"/>
                <w:bCs/>
              </w:rPr>
            </w:pPr>
            <w:r>
              <w:rPr>
                <w:rFonts w:eastAsia="Calibri" w:cs="Arial" w:ascii="Arial" w:hAnsi="Arial"/>
                <w:bCs/>
                <w:kern w:val="0"/>
                <w:sz w:val="22"/>
                <w:szCs w:val="22"/>
                <w:lang w:val="en-GB"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4.1.</w:t>
            </w:r>
          </w:p>
        </w:tc>
        <w:tc>
          <w:tcPr>
            <w:tcW w:w="6519"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bCs/>
                <w:kern w:val="0"/>
                <w:sz w:val="22"/>
                <w:szCs w:val="22"/>
                <w:lang w:val="lt-LT" w:eastAsia="en-US" w:bidi="ar-SA"/>
              </w:rPr>
              <w:t>medkirtės valdymas kompiuterizuotas, multifunkcinis displėjus rodantis gedimus ir leidžiantis matyti bei keisti visus pagrindinius medkirtės darbo parametrus;</w:t>
            </w:r>
          </w:p>
        </w:tc>
        <w:tc>
          <w:tcPr>
            <w:tcW w:w="2695" w:type="dxa"/>
            <w:tcBorders/>
          </w:tcPr>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r>
          </w:p>
        </w:tc>
      </w:tr>
      <w:tr>
        <w:trPr>
          <w:trHeight w:val="25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themeColor="text1" w:val="000000"/>
                <w:kern w:val="0"/>
                <w:sz w:val="22"/>
                <w:szCs w:val="22"/>
                <w:lang w:val="lt-LT" w:eastAsia="en-US" w:bidi="ar-SA"/>
              </w:rPr>
              <w:t>4.2.</w:t>
            </w:r>
          </w:p>
        </w:tc>
        <w:tc>
          <w:tcPr>
            <w:tcW w:w="6519" w:type="dxa"/>
            <w:tcBorders/>
          </w:tcPr>
          <w:p>
            <w:pPr>
              <w:pStyle w:val="Normal"/>
              <w:widowControl/>
              <w:spacing w:before="0" w:afterAutospacing="0" w:after="0"/>
              <w:ind w:firstLine="1"/>
              <w:jc w:val="both"/>
              <w:textAlignment w:val="auto"/>
              <w:rPr>
                <w:rFonts w:ascii="Arial" w:hAnsi="Arial" w:eastAsia="Times New Roman" w:cs="Arial"/>
                <w:strike/>
                <w:color w:val="FF0000"/>
                <w:lang w:val="lt-LT"/>
              </w:rPr>
            </w:pPr>
            <w:r>
              <w:rPr>
                <w:rFonts w:eastAsia="Times New Roman" w:cs="Arial" w:ascii="Arial" w:hAnsi="Arial"/>
                <w:kern w:val="0"/>
                <w:sz w:val="22"/>
                <w:szCs w:val="22"/>
                <w:lang w:val="lt-LT" w:eastAsia="en-US" w:bidi="ar-SA"/>
              </w:rPr>
              <w:t>medkirtės valdymas galimas vienu iš variantų: a) minisvirtimis, b) minisvirtimis ir minivairu, c) vairasvirtėmis, ant kurių išdėstyti valdymo mygtukai ir jungtukai, leidžiantys nupjauti medį neatitraukiant rankų nuo vairasvirčių, valdant medkirtę;</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rHeight w:val="132"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themeColor="text1" w:val="000000"/>
                <w:kern w:val="0"/>
                <w:sz w:val="22"/>
                <w:szCs w:val="22"/>
                <w:lang w:val="lt-LT" w:eastAsia="en-US" w:bidi="ar-SA"/>
              </w:rPr>
              <w:t>4.3.</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pagrindinė medkirtės valdymo programa, instrukcijos, klaidų išaiškinimai – lietuvių kalba (medkirtės kompiuteryje);</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themeColor="text1" w:val="000000"/>
                <w:kern w:val="0"/>
                <w:sz w:val="22"/>
                <w:szCs w:val="22"/>
                <w:lang w:val="lt-LT" w:eastAsia="en-US" w:bidi="ar-SA"/>
              </w:rPr>
              <w:t>4.4.</w:t>
            </w:r>
          </w:p>
        </w:tc>
        <w:tc>
          <w:tcPr>
            <w:tcW w:w="6519"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medkirtės gamintojo gamykloje sumontuota, integruota darbo duomenų perdavimo realiu laiku nuotolinio ryšio priemonėmis sistema (toliau – medkirtės darbo duomenų sistema), kuri kaupia, leidžia prisijungti nuotoliniu būdu ir stebėti medkirtės darbo duomenis:</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 xml:space="preserve">1. medkirtės buvimo vietą ir judėjimą žemėlapyje; </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2. užtikrina galimybę nuotoliniu būdu įkelti biržės brėžinį į medkirtės darbo duomenų sistemą, kad pagal brėžinį operatorius galėtų orientuotis darbo metu natūroje;</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3. medkirtės variklio būsenas (užvesta, neužvesta, kiek laiko dirba);</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4. vykdomų operacijų greitį,  medkirtės atliktų  pasikrovimų, vykdytų važiavimų (reisų) skaičių fiksuojant laiką;</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5. duomenis apie degalų kiekį bake ir  sunaudotus degalus;</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6. užtikrina operatoriaus autorizavimą;</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7. duomenis saugo  1 metus.</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 xml:space="preserve">8. diskas, kuriame būtų kaupiami duomenys, turi būti šifruojamas arba sudaroma Užsakovui galimybė pačiam šifruoti diską. </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9. Kiti reikalavimai sistemai:</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9.1. medkirtės duomenis gali matyti tik priskirti jai naudotojai.</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9.2. naudotojų skaičius neribojamas.</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 xml:space="preserve">9.3. jei nėra duomenų perdavimo ryšio, duomenys turi būti kaupiami lokaliai. Atsiradus ryšiui turi būti perduoti į nutolusią medkirtės gamintojo darbų vykdymo informacinę sistemą. Tiekėjas užtikrina, kad nutolusi medkirtės gamintojo darbų vykdymo informacinė sistema ir joje esančių duomenų atsarginės kopijos (jei taikoma) būtų saugomos Europos ekonominės erdvės valstybėje ir prieiga prie jos ar joje esančių duomenų, taip pat atsarginių kopijų (jei taikoma) būtų atliekama iš Europos ekonominės erdvės valstybės. </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 xml:space="preserve">9.4. Tiekėjas turi užtikrinti iš medkirtės darbo duomenų sistemos duomenų perdavimą į nutolusią medkirtės gamintojo darbų vykdymo informacinę sistemą, o perdavimo kainą įskaičiuoti į medkirtės kainą. Duomenys turi būti perduodami saugiu ryšio kanalu. </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 xml:space="preserve">9.5. visi prisijungimai tiek į medkirtės darbo duomenų sistemą, tiek į nutolusią medkirtės gamintojo darbų vykdymo informacinę sistemą turi būti apsaugoti naudotojo vardu ir slaptažodžiu. Turi būti galimybė sukurti naudotojo vardą ir slaptažodį kiekvienam naudotojui atskirai (taikoma nutolusiai medkirtės gamintojo darbų vykdymo informacinei sistemai, pagal technines galimybes taikoma medkirtės darbo duomenų sistemai). Medkirtės darbo duomenų sistemos aplikacijos lygmenyje turi būti atriboti naudotojai su skirtingomis prieigos teisėmis (pvz., operatorius, administratorius / serviso inžinierius). </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 xml:space="preserve">Slaptažodis turės atitikti šiuos reikalavimus: </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w:t>
            </w:r>
            <w:r>
              <w:rPr>
                <w:rFonts w:eastAsia="Calibri" w:cs="Arial" w:ascii="Arial" w:hAnsi="Arial"/>
                <w:kern w:val="0"/>
                <w:sz w:val="22"/>
                <w:szCs w:val="22"/>
                <w:lang w:val="lt-LT" w:eastAsia="en-US" w:bidi="ar-SA"/>
              </w:rPr>
              <w:tab/>
              <w:t xml:space="preserve">ne trumpesnis nei 14 simbolių, </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w:t>
            </w:r>
            <w:r>
              <w:rPr>
                <w:rFonts w:eastAsia="Calibri" w:cs="Arial" w:ascii="Arial" w:hAnsi="Arial"/>
                <w:kern w:val="0"/>
                <w:sz w:val="22"/>
                <w:szCs w:val="22"/>
                <w:lang w:val="lt-LT" w:eastAsia="en-US" w:bidi="ar-SA"/>
              </w:rPr>
              <w:tab/>
              <w:t>turintis ne mažiau kaip vieną skaičių;</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w:t>
            </w:r>
            <w:r>
              <w:rPr>
                <w:rFonts w:eastAsia="Calibri" w:cs="Arial" w:ascii="Arial" w:hAnsi="Arial"/>
                <w:kern w:val="0"/>
                <w:sz w:val="22"/>
                <w:szCs w:val="22"/>
                <w:lang w:val="lt-LT" w:eastAsia="en-US" w:bidi="ar-SA"/>
              </w:rPr>
              <w:tab/>
              <w:t>turintis ne mažiau kaip vieną didžiąją raidę;</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w:t>
            </w:r>
            <w:r>
              <w:rPr>
                <w:rFonts w:eastAsia="Calibri" w:cs="Arial" w:ascii="Arial" w:hAnsi="Arial"/>
                <w:kern w:val="0"/>
                <w:sz w:val="22"/>
                <w:szCs w:val="22"/>
                <w:lang w:val="lt-LT" w:eastAsia="en-US" w:bidi="ar-SA"/>
              </w:rPr>
              <w:tab/>
              <w:t>turintis ne mažiau kaip vieną mažąją raidę;</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w:t>
            </w:r>
            <w:r>
              <w:rPr>
                <w:rFonts w:eastAsia="Calibri" w:cs="Arial" w:ascii="Arial" w:hAnsi="Arial"/>
                <w:kern w:val="0"/>
                <w:sz w:val="22"/>
                <w:szCs w:val="22"/>
                <w:lang w:val="lt-LT" w:eastAsia="en-US" w:bidi="ar-SA"/>
              </w:rPr>
              <w:tab/>
              <w:t>turintis ne mažiau kaip vieną specialųjį simbolį.</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Galimi ir kiti sprendimai, užtikrinantys tokio pačio lygio (ar aukštesnio) prisijungimo prie nutolusios medkirtės gamintojo darbų vykdymo informacinės sistemos saugumą.</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 xml:space="preserve">9.6. naudotojų ir administratorių veiksmai tiek jungiantis į medkirtės darbo duomenų sistemą, tiek į nutolusią medkirtės gamintojo darbų vykdymo informacinę sistemą turi būti fiksuojami žurnaliniuose įrašuose (angl. </w:t>
            </w:r>
            <w:r>
              <w:rPr>
                <w:rFonts w:eastAsia="Calibri" w:cs="Arial" w:ascii="Arial" w:hAnsi="Arial"/>
                <w:i/>
                <w:iCs/>
                <w:kern w:val="0"/>
                <w:sz w:val="22"/>
                <w:szCs w:val="22"/>
                <w:lang w:val="lt-LT" w:eastAsia="en-US" w:bidi="ar-SA"/>
              </w:rPr>
              <w:t>logs</w:t>
            </w:r>
            <w:r>
              <w:rPr>
                <w:rFonts w:eastAsia="Calibri" w:cs="Arial" w:ascii="Arial" w:hAnsi="Arial"/>
                <w:kern w:val="0"/>
                <w:sz w:val="22"/>
                <w:szCs w:val="22"/>
                <w:lang w:val="lt-LT" w:eastAsia="en-US" w:bidi="ar-SA"/>
              </w:rPr>
              <w:t>). Užsakovas turi turėti galimybę peržiūrėti ar gauti žurnalinius įrašus. Užsakovui raštu paprašius, Tiekėjas turi pateikti prašomo laikotarpio žurnalinius įrašus (jei pats Užsakovas negali jų išsiimti).</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4.4.</w:t>
            </w:r>
            <w:r>
              <w:rPr>
                <w:rFonts w:eastAsia="Calibri" w:cs="Arial" w:ascii="Arial" w:hAnsi="Arial"/>
                <w:kern w:val="0"/>
                <w:sz w:val="22"/>
                <w:szCs w:val="22"/>
                <w:lang w:val="lt-LT" w:eastAsia="en-US" w:bidi="ar-SA"/>
              </w:rPr>
              <w:t xml:space="preserve">9.7. pagal technines galimybes žurnaliniuose įrašuose kaupiama informacija apie atliktus naudotojų ir administratorių veiksmus (data, laikas, kada veiksmas atliktas, naudotojo / administratoriaus, kuris atlieka veiksmą, duomenys, prisijungimai ar nesėkmingi bandymai prisijungti, atsijungimai, kokie veiksmai atlikti), naudotojų ir administratorių paskyrų sukūrimus, prieigos teisių pakeitimus. </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4.4.9.8. Tiekėjas darbui su medkirtės darbo duomenų sistema apmoko ne mažiau kaip 4 darbuotojus.</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rHeight w:val="311"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4.5.</w:t>
            </w:r>
          </w:p>
        </w:tc>
        <w:tc>
          <w:tcPr>
            <w:tcW w:w="6519" w:type="dxa"/>
            <w:tcBorders/>
          </w:tcPr>
          <w:p>
            <w:pPr>
              <w:pStyle w:val="Normal"/>
              <w:widowControl/>
              <w:spacing w:before="0" w:afterAutospacing="0" w:after="0"/>
              <w:ind w:hanging="0"/>
              <w:jc w:val="both"/>
              <w:textAlignment w:val="auto"/>
              <w:rPr>
                <w:rFonts w:ascii="Arial" w:hAnsi="Arial" w:eastAsia="Times New Roman" w:cs="Arial"/>
                <w:lang w:val="lt-LT" w:eastAsia="lt-LT"/>
              </w:rPr>
            </w:pPr>
            <w:r>
              <w:rPr>
                <w:rFonts w:eastAsia="Calibri" w:cs="Arial" w:ascii="Arial" w:hAnsi="Arial"/>
                <w:kern w:val="0"/>
                <w:sz w:val="22"/>
                <w:szCs w:val="22"/>
                <w:lang w:val="lt-LT" w:eastAsia="en-US" w:bidi="ar-SA"/>
              </w:rPr>
              <w:t xml:space="preserve">turi būti sumontuota transporto kontrolės ir degalų elektroninės apskaitos įranga, veikianti GSM/GPS principu ir perduodanti borto kompiuterio davinius į Užsakovo naudojamus serverius. Suderinimas ir prijungimas prie transporto kontrolės sistemos, naudojamos Užsakovo telemetrinės įrangos, GPS/GSM pagrindu – Vykdytojo sąskaita, iki prekės perdavimo Užsakovui dienos. </w:t>
            </w:r>
            <w:r>
              <w:rPr>
                <w:rFonts w:eastAsia="Calibri" w:cs="Arial" w:ascii="Arial" w:hAnsi="Arial"/>
                <w:kern w:val="0"/>
                <w:sz w:val="22"/>
                <w:szCs w:val="22"/>
                <w:lang w:val="en-GB" w:eastAsia="en-US" w:bidi="ar-SA"/>
              </w:rPr>
              <w:t>Užsakovui telemetrinės kontrolės paslaugas teikia UAB „XIRGO GLOBAL“.</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311"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4.6.</w:t>
            </w:r>
          </w:p>
        </w:tc>
        <w:tc>
          <w:tcPr>
            <w:tcW w:w="6519" w:type="dxa"/>
            <w:tcBorders/>
          </w:tcPr>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turi būti sumontuotas kompiuteris su programine įranga, atitinkantys šiuos reikalavimus:</w:t>
            </w:r>
          </w:p>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kompiuterio operacinė sistema (OS) – MS Windows 10 arba naujesnė;</w:t>
            </w:r>
          </w:p>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kompiuterio programinė įranga lietuvių kalba;</w:t>
            </w:r>
          </w:p>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kompiuterio operatyvinė atmintis (RAM) – ne mažiau 4 GB;</w:t>
            </w:r>
          </w:p>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galimybė instaliuoti 3-ių šalių programas;</w:t>
            </w:r>
          </w:p>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kompiuterio kietasis diskas – turi būti ne mažiau kaip 40 GB laisvos vietos 3-ių šalių programoms instaliuoti;</w:t>
            </w:r>
          </w:p>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kompiuterio procesorius (CPU) – kelių branduolių, dažnis ne mažesnis nei 1,6 GHz;</w:t>
            </w:r>
          </w:p>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kompiuterio prievadai (ports) – ne mažiau 2xUSB (iš kurių ne mažiau kaip vienas – gerai matomoje ir lengvai prieinamoje vietoje), 1xRJ45;</w:t>
            </w:r>
          </w:p>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kompiuterio monitorius – raiška ne mažiau kaip 1024x768 taškų;</w:t>
            </w:r>
          </w:p>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elektroninis paštas – turi būti galimybė siųsti el. laiškus naudojantis atskira arba naršyklės (web browser) bazėje veikiančia el. pašto programa;</w:t>
            </w:r>
          </w:p>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Reikalavimai ryšiui: 3G arba geresnis, greitis ne mažiau nei 10 Mbps.</w:t>
            </w:r>
          </w:p>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PASTABA. Ryšio paslaugų pirkimas neįeina į šio pirkimo apimtį. Pastovus ryšys nėra būtinas – duomenys siunčiami patekus į tinkamo ryšio zoną.</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104"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rPr>
            </w:pPr>
            <w:r>
              <w:rPr>
                <w:rFonts w:eastAsia="Calibri" w:cs="Arial" w:ascii="Arial" w:hAnsi="Arial"/>
                <w:color w:val="000000"/>
                <w:kern w:val="0"/>
                <w:sz w:val="22"/>
                <w:szCs w:val="22"/>
                <w:lang w:val="en-GB" w:eastAsia="en-US" w:bidi="ar-SA"/>
              </w:rPr>
              <w:t>4.7.</w:t>
            </w:r>
          </w:p>
        </w:tc>
        <w:tc>
          <w:tcPr>
            <w:tcW w:w="6519" w:type="dxa"/>
            <w:tcBorders/>
          </w:tcPr>
          <w:p>
            <w:pPr>
              <w:pStyle w:val="Normal"/>
              <w:widowControl/>
              <w:spacing w:before="0" w:afterAutospacing="0" w:after="0"/>
              <w:ind w:hanging="0"/>
              <w:jc w:val="both"/>
              <w:textAlignment w:val="auto"/>
              <w:rPr>
                <w:rFonts w:ascii="Arial" w:hAnsi="Arial" w:cs="Arial"/>
                <w:bCs/>
                <w:color w:val="000000"/>
                <w:lang w:val="lt-LT" w:eastAsia="lt-LT"/>
              </w:rPr>
            </w:pPr>
            <w:r>
              <w:rPr>
                <w:rFonts w:eastAsia="Calibri" w:cs="Arial" w:ascii="Arial" w:hAnsi="Arial"/>
                <w:bCs/>
                <w:color w:val="000000"/>
                <w:kern w:val="0"/>
                <w:sz w:val="22"/>
                <w:szCs w:val="22"/>
                <w:lang w:val="lt-LT" w:eastAsia="lt-LT" w:bidi="ar-SA"/>
              </w:rPr>
              <w:t>Medkirtės gamintojo sukurta aplikacijų programavimo sąsaja (Application Programming Interface, API), galinti pateikti šiuos medkirtės darbo duomenis:</w:t>
            </w:r>
          </w:p>
          <w:p>
            <w:pPr>
              <w:pStyle w:val="Normal"/>
              <w:widowControl/>
              <w:numPr>
                <w:ilvl w:val="0"/>
                <w:numId w:val="2"/>
              </w:numPr>
              <w:spacing w:before="0" w:afterAutospacing="0" w:after="0"/>
              <w:jc w:val="both"/>
              <w:textAlignment w:val="auto"/>
              <w:rPr>
                <w:rFonts w:ascii="Arial" w:hAnsi="Arial" w:cs="Arial"/>
                <w:bCs/>
                <w:color w:val="000000"/>
                <w:lang w:val="lt-LT" w:eastAsia="lt-LT"/>
              </w:rPr>
            </w:pPr>
            <w:r>
              <w:rPr>
                <w:rFonts w:eastAsia="Calibri" w:cs="Arial" w:ascii="Arial" w:hAnsi="Arial"/>
                <w:bCs/>
                <w:color w:val="000000"/>
                <w:kern w:val="0"/>
                <w:sz w:val="22"/>
                <w:szCs w:val="22"/>
                <w:lang w:val="lt-LT" w:eastAsia="lt-LT" w:bidi="ar-SA"/>
              </w:rPr>
              <w:t>tūris pagal sortimentus;</w:t>
            </w:r>
          </w:p>
          <w:p>
            <w:pPr>
              <w:pStyle w:val="Normal"/>
              <w:widowControl/>
              <w:numPr>
                <w:ilvl w:val="0"/>
                <w:numId w:val="2"/>
              </w:numPr>
              <w:spacing w:before="0" w:afterAutospacing="0" w:after="0"/>
              <w:jc w:val="both"/>
              <w:textAlignment w:val="auto"/>
              <w:rPr>
                <w:rFonts w:ascii="Arial" w:hAnsi="Arial" w:cs="Arial"/>
                <w:bCs/>
                <w:color w:val="000000"/>
                <w:lang w:val="lt-LT" w:eastAsia="lt-LT"/>
              </w:rPr>
            </w:pPr>
            <w:r>
              <w:rPr>
                <w:rFonts w:eastAsia="Calibri" w:cs="Arial" w:ascii="Arial" w:hAnsi="Arial"/>
                <w:bCs/>
                <w:color w:val="000000"/>
                <w:kern w:val="0"/>
                <w:sz w:val="22"/>
                <w:szCs w:val="22"/>
                <w:lang w:val="lt-LT" w:eastAsia="lt-LT" w:bidi="ar-SA"/>
              </w:rPr>
              <w:t>vidutinis rąsto/stiebo tūris;</w:t>
            </w:r>
          </w:p>
          <w:p>
            <w:pPr>
              <w:pStyle w:val="Normal"/>
              <w:widowControl/>
              <w:numPr>
                <w:ilvl w:val="0"/>
                <w:numId w:val="2"/>
              </w:numPr>
              <w:spacing w:before="0" w:afterAutospacing="0" w:after="0"/>
              <w:jc w:val="both"/>
              <w:textAlignment w:val="auto"/>
              <w:rPr>
                <w:rFonts w:ascii="Arial" w:hAnsi="Arial" w:cs="Arial"/>
                <w:bCs/>
                <w:color w:val="000000"/>
                <w:lang w:val="lt-LT" w:eastAsia="lt-LT"/>
              </w:rPr>
            </w:pPr>
            <w:r>
              <w:rPr>
                <w:rFonts w:eastAsia="Calibri" w:cs="Arial" w:ascii="Arial" w:hAnsi="Arial"/>
                <w:bCs/>
                <w:color w:val="000000"/>
                <w:kern w:val="0"/>
                <w:sz w:val="22"/>
                <w:szCs w:val="22"/>
                <w:lang w:val="lt-LT" w:eastAsia="lt-LT" w:bidi="ar-SA"/>
              </w:rPr>
              <w:t>rąstų/stiebų skaičius (pagal sortimentus);</w:t>
            </w:r>
          </w:p>
          <w:p>
            <w:pPr>
              <w:pStyle w:val="Normal"/>
              <w:widowControl/>
              <w:numPr>
                <w:ilvl w:val="0"/>
                <w:numId w:val="2"/>
              </w:numPr>
              <w:spacing w:before="0" w:afterAutospacing="0" w:after="0"/>
              <w:jc w:val="both"/>
              <w:textAlignment w:val="auto"/>
              <w:rPr>
                <w:rFonts w:ascii="Arial" w:hAnsi="Arial" w:cs="Arial"/>
                <w:bCs/>
                <w:color w:val="000000"/>
                <w:lang w:val="lt-LT" w:eastAsia="lt-LT"/>
              </w:rPr>
            </w:pPr>
            <w:r>
              <w:rPr>
                <w:rFonts w:eastAsia="Calibri" w:cs="Arial" w:ascii="Arial" w:hAnsi="Arial"/>
                <w:bCs/>
                <w:color w:val="000000"/>
                <w:kern w:val="0"/>
                <w:sz w:val="22"/>
                <w:szCs w:val="22"/>
                <w:lang w:val="lt-LT" w:eastAsia="lt-LT" w:bidi="ar-SA"/>
              </w:rPr>
              <w:t>bendras tūris;</w:t>
            </w:r>
          </w:p>
          <w:p>
            <w:pPr>
              <w:pStyle w:val="Normal"/>
              <w:widowControl/>
              <w:numPr>
                <w:ilvl w:val="0"/>
                <w:numId w:val="2"/>
              </w:numPr>
              <w:spacing w:before="0" w:afterAutospacing="0" w:after="0"/>
              <w:jc w:val="both"/>
              <w:textAlignment w:val="auto"/>
              <w:rPr>
                <w:rFonts w:ascii="Arial" w:hAnsi="Arial" w:cs="Arial"/>
                <w:bCs/>
                <w:color w:val="000000"/>
                <w:lang w:val="lt-LT" w:eastAsia="lt-LT"/>
              </w:rPr>
            </w:pPr>
            <w:r>
              <w:rPr>
                <w:rFonts w:eastAsia="Calibri" w:cs="Arial" w:ascii="Arial" w:hAnsi="Arial"/>
                <w:bCs/>
                <w:color w:val="000000"/>
                <w:kern w:val="0"/>
                <w:sz w:val="22"/>
                <w:szCs w:val="22"/>
                <w:lang w:val="lt-LT" w:eastAsia="lt-LT" w:bidi="ar-SA"/>
              </w:rPr>
              <w:t>biržės numeris;</w:t>
            </w:r>
          </w:p>
          <w:p>
            <w:pPr>
              <w:pStyle w:val="Normal"/>
              <w:widowControl/>
              <w:numPr>
                <w:ilvl w:val="0"/>
                <w:numId w:val="2"/>
              </w:numPr>
              <w:spacing w:before="0" w:afterAutospacing="0" w:after="0"/>
              <w:jc w:val="both"/>
              <w:textAlignment w:val="auto"/>
              <w:rPr>
                <w:rFonts w:ascii="Arial" w:hAnsi="Arial" w:cs="Arial"/>
                <w:bCs/>
                <w:color w:val="000000"/>
                <w:lang w:val="lt-LT" w:eastAsia="lt-LT"/>
              </w:rPr>
            </w:pPr>
            <w:r>
              <w:rPr>
                <w:rFonts w:eastAsia="Calibri" w:cs="Arial" w:ascii="Arial" w:hAnsi="Arial"/>
                <w:bCs/>
                <w:color w:val="000000"/>
                <w:kern w:val="0"/>
                <w:sz w:val="22"/>
                <w:szCs w:val="22"/>
                <w:lang w:val="lt-LT" w:eastAsia="lt-LT" w:bidi="ar-SA"/>
              </w:rPr>
              <w:t>našumas.</w:t>
            </w:r>
          </w:p>
          <w:p>
            <w:pPr>
              <w:pStyle w:val="Normal"/>
              <w:widowControl/>
              <w:spacing w:before="0" w:afterAutospacing="0" w:after="0"/>
              <w:ind w:hanging="0"/>
              <w:jc w:val="both"/>
              <w:textAlignment w:val="auto"/>
              <w:rPr>
                <w:rFonts w:ascii="Arial" w:hAnsi="Arial" w:cs="Arial"/>
                <w:b/>
                <w:color w:val="000000"/>
                <w:lang w:eastAsia="lt-LT"/>
              </w:rPr>
            </w:pPr>
            <w:r>
              <w:rPr>
                <w:rFonts w:eastAsia="Calibri" w:cs="Arial" w:ascii="Arial" w:hAnsi="Arial"/>
                <w:bCs/>
                <w:color w:val="000000"/>
                <w:kern w:val="0"/>
                <w:sz w:val="22"/>
                <w:szCs w:val="22"/>
                <w:lang w:val="lt-LT" w:eastAsia="lt-LT" w:bidi="ar-SA"/>
              </w:rPr>
              <w:t>StanForD 2010 standarto palaikymas</w:t>
            </w:r>
          </w:p>
        </w:tc>
        <w:tc>
          <w:tcPr>
            <w:tcW w:w="2695" w:type="dxa"/>
            <w:tcBorders/>
          </w:tcPr>
          <w:p>
            <w:pPr>
              <w:pStyle w:val="Normal"/>
              <w:widowControl/>
              <w:spacing w:before="0" w:afterAutospacing="0" w:after="0"/>
              <w:ind w:hanging="0"/>
              <w:jc w:val="both"/>
              <w:textAlignment w:val="auto"/>
              <w:rPr>
                <w:rFonts w:ascii="Arial" w:hAnsi="Arial" w:cs="Arial"/>
                <w:b/>
                <w:color w:val="000000"/>
                <w:lang w:eastAsia="lt-LT"/>
              </w:rPr>
            </w:pPr>
            <w:r>
              <w:rPr>
                <w:rFonts w:eastAsia="Calibri" w:cs="Arial" w:ascii="Arial" w:hAnsi="Arial"/>
                <w:b/>
                <w:color w:val="000000"/>
                <w:kern w:val="0"/>
                <w:sz w:val="22"/>
                <w:szCs w:val="22"/>
                <w:lang w:val="en-GB" w:eastAsia="lt-LT" w:bidi="ar-SA"/>
              </w:rPr>
            </w:r>
          </w:p>
        </w:tc>
      </w:tr>
      <w:tr>
        <w:trPr>
          <w:trHeight w:val="104"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b/>
                <w:bCs/>
                <w:color w:val="000000"/>
                <w:kern w:val="0"/>
                <w:sz w:val="22"/>
                <w:szCs w:val="22"/>
                <w:lang w:val="lt-LT" w:eastAsia="en-US" w:bidi="ar-SA"/>
              </w:rPr>
              <w:t>5.</w:t>
            </w:r>
          </w:p>
        </w:tc>
        <w:tc>
          <w:tcPr>
            <w:tcW w:w="6519" w:type="dxa"/>
            <w:tcBorders/>
          </w:tcPr>
          <w:p>
            <w:pPr>
              <w:pStyle w:val="Normal"/>
              <w:widowControl/>
              <w:spacing w:before="0" w:afterAutospacing="0" w:after="0"/>
              <w:ind w:hanging="0"/>
              <w:jc w:val="both"/>
              <w:textAlignment w:val="auto"/>
              <w:rPr>
                <w:rFonts w:ascii="Arial" w:hAnsi="Arial" w:cs="Arial"/>
                <w:b/>
                <w:lang w:val="lt-LT"/>
              </w:rPr>
            </w:pPr>
            <w:r>
              <w:rPr>
                <w:rFonts w:eastAsia="Calibri" w:cs="Arial" w:ascii="Arial" w:hAnsi="Arial"/>
                <w:b/>
                <w:color w:val="000000"/>
                <w:kern w:val="0"/>
                <w:sz w:val="22"/>
                <w:szCs w:val="22"/>
                <w:lang w:val="lt-LT" w:eastAsia="lt-LT" w:bidi="ar-SA"/>
              </w:rPr>
              <w:t>Elektros sistema:</w:t>
            </w:r>
          </w:p>
        </w:tc>
        <w:tc>
          <w:tcPr>
            <w:tcW w:w="2695" w:type="dxa"/>
            <w:tcBorders/>
          </w:tcPr>
          <w:p>
            <w:pPr>
              <w:pStyle w:val="Normal"/>
              <w:widowControl/>
              <w:spacing w:before="0" w:afterAutospacing="0" w:after="0"/>
              <w:ind w:hanging="0"/>
              <w:jc w:val="both"/>
              <w:textAlignment w:val="auto"/>
              <w:rPr>
                <w:rFonts w:ascii="Arial" w:hAnsi="Arial" w:cs="Arial"/>
                <w:b/>
                <w:color w:val="000000"/>
                <w:lang w:eastAsia="lt-LT"/>
              </w:rPr>
            </w:pPr>
            <w:r>
              <w:rPr>
                <w:rFonts w:eastAsia="Calibri" w:cs="Arial" w:ascii="Arial" w:hAnsi="Arial"/>
                <w:b/>
                <w:color w:val="000000"/>
                <w:kern w:val="0"/>
                <w:sz w:val="22"/>
                <w:szCs w:val="22"/>
                <w:lang w:val="en-GB" w:eastAsia="lt-LT" w:bidi="ar-SA"/>
              </w:rPr>
            </w:r>
          </w:p>
        </w:tc>
      </w:tr>
      <w:tr>
        <w:trPr>
          <w:trHeight w:val="122"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color w:val="000000"/>
                <w:kern w:val="0"/>
                <w:sz w:val="22"/>
                <w:szCs w:val="22"/>
                <w:lang w:val="lt-LT" w:eastAsia="en-US" w:bidi="ar-SA"/>
              </w:rPr>
              <w:t>5.1.</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val="000000"/>
                <w:lang w:val="lt-LT" w:eastAsia="lt-LT"/>
              </w:rPr>
            </w:pPr>
            <w:r>
              <w:rPr>
                <w:rFonts w:eastAsia="Times New Roman" w:cs="Arial" w:ascii="Arial" w:hAnsi="Arial"/>
                <w:color w:val="000000"/>
                <w:kern w:val="0"/>
                <w:sz w:val="22"/>
                <w:szCs w:val="22"/>
                <w:lang w:val="lt-LT" w:eastAsia="lt-LT" w:bidi="ar-SA"/>
              </w:rPr>
              <w:t>LED darbiniai žibintai ant kabinos, ne mažiau 12 vnt.,   apšviečiantys darbinę ir važiavimo zonas;</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5.2.</w:t>
            </w:r>
          </w:p>
        </w:tc>
        <w:tc>
          <w:tcPr>
            <w:tcW w:w="6519"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LED darbiniai žibintai ant hidromanipuliatoriaus, ne mažiau 2 vnt.,</w:t>
            </w:r>
          </w:p>
        </w:tc>
        <w:tc>
          <w:tcPr>
            <w:tcW w:w="2695"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r>
          </w:p>
        </w:tc>
      </w:tr>
      <w:tr>
        <w:trPr>
          <w:trHeight w:val="102"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themeColor="text1" w:val="000000"/>
                <w:kern w:val="0"/>
                <w:sz w:val="22"/>
                <w:szCs w:val="22"/>
                <w:lang w:val="lt-LT" w:eastAsia="en-US" w:bidi="ar-SA"/>
              </w:rPr>
              <w:t>5.3.</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val="000000"/>
                <w:lang w:val="lt-LT" w:eastAsia="lt-LT"/>
              </w:rPr>
            </w:pPr>
            <w:r>
              <w:rPr>
                <w:rFonts w:eastAsia="Times New Roman" w:cs="Arial" w:ascii="Arial" w:hAnsi="Arial"/>
                <w:color w:val="000000"/>
                <w:kern w:val="0"/>
                <w:sz w:val="22"/>
                <w:szCs w:val="22"/>
                <w:lang w:val="lt-LT" w:eastAsia="lt-LT" w:bidi="ar-SA"/>
              </w:rPr>
              <w:t>masės jungėjas;</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val="000000"/>
                <w:lang w:eastAsia="lt-LT"/>
              </w:rPr>
            </w:pPr>
            <w:r>
              <w:rPr>
                <w:rFonts w:eastAsia="Times New Roman" w:cs="Arial" w:ascii="Arial" w:hAnsi="Arial"/>
                <w:color w:val="000000"/>
                <w:kern w:val="0"/>
                <w:sz w:val="22"/>
                <w:szCs w:val="22"/>
                <w:lang w:val="en-GB" w:eastAsia="lt-LT" w:bidi="ar-SA"/>
              </w:rPr>
            </w:r>
          </w:p>
        </w:tc>
      </w:tr>
      <w:tr>
        <w:trPr>
          <w:trHeight w:val="204"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themeColor="text1" w:val="000000"/>
                <w:kern w:val="0"/>
                <w:sz w:val="22"/>
                <w:szCs w:val="22"/>
                <w:lang w:val="lt-LT" w:eastAsia="en-US" w:bidi="ar-SA"/>
              </w:rPr>
              <w:t>5.4.</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val="000000"/>
                <w:highlight w:val="red"/>
                <w:lang w:val="lt-LT" w:eastAsia="lt-LT"/>
              </w:rPr>
            </w:pPr>
            <w:r>
              <w:rPr>
                <w:rFonts w:eastAsia="Times New Roman" w:cs="Arial" w:ascii="Arial" w:hAnsi="Arial"/>
                <w:color w:val="000000"/>
                <w:kern w:val="0"/>
                <w:sz w:val="22"/>
                <w:szCs w:val="22"/>
                <w:lang w:val="lt-LT" w:eastAsia="lt-LT" w:bidi="ar-SA"/>
              </w:rPr>
              <w:t>naudojama įtampa 12 voltų;</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val="000000"/>
                <w:lang w:eastAsia="lt-LT"/>
              </w:rPr>
            </w:pPr>
            <w:r>
              <w:rPr>
                <w:rFonts w:eastAsia="Times New Roman" w:cs="Arial" w:ascii="Arial" w:hAnsi="Arial"/>
                <w:color w:val="000000"/>
                <w:kern w:val="0"/>
                <w:sz w:val="22"/>
                <w:szCs w:val="22"/>
                <w:lang w:val="en-GB" w:eastAsia="lt-LT" w:bidi="ar-SA"/>
              </w:rPr>
            </w:r>
          </w:p>
        </w:tc>
      </w:tr>
      <w:tr>
        <w:trPr>
          <w:trHeight w:val="222"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themeColor="text1" w:val="000000"/>
                <w:kern w:val="0"/>
                <w:sz w:val="22"/>
                <w:szCs w:val="22"/>
                <w:lang w:val="lt-LT" w:eastAsia="en-US" w:bidi="ar-SA"/>
              </w:rPr>
              <w:t>5.5.</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val="000000"/>
                <w:lang w:val="lt-LT"/>
              </w:rPr>
            </w:pPr>
            <w:r>
              <w:rPr>
                <w:rFonts w:eastAsia="Times New Roman" w:cs="Arial" w:ascii="Arial" w:hAnsi="Arial"/>
                <w:color w:val="000000"/>
                <w:kern w:val="0"/>
                <w:sz w:val="22"/>
                <w:szCs w:val="22"/>
                <w:lang w:val="lt-LT" w:eastAsia="en-US" w:bidi="ar-SA"/>
              </w:rPr>
              <w:t>šviesos signalų sistema, pritaikyta eismui bendro naudojimo keliais.</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val="000000"/>
                <w:lang w:val="pt-BR"/>
              </w:rPr>
            </w:pPr>
            <w:r>
              <w:rPr>
                <w:rFonts w:eastAsia="Times New Roman" w:cs="Arial" w:ascii="Arial" w:hAnsi="Arial"/>
                <w:color w:val="000000"/>
                <w:kern w:val="0"/>
                <w:sz w:val="22"/>
                <w:szCs w:val="22"/>
                <w:lang w:val="pt-BR" w:eastAsia="en-US" w:bidi="ar-SA"/>
              </w:rPr>
            </w:r>
          </w:p>
        </w:tc>
      </w:tr>
      <w:tr>
        <w:trPr>
          <w:trHeight w:val="139"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b/>
                <w:bCs/>
                <w:color w:val="000000"/>
                <w:kern w:val="0"/>
                <w:sz w:val="22"/>
                <w:szCs w:val="22"/>
                <w:lang w:val="lt-LT" w:eastAsia="en-US" w:bidi="ar-SA"/>
              </w:rPr>
              <w:t>6.</w:t>
            </w:r>
          </w:p>
        </w:tc>
        <w:tc>
          <w:tcPr>
            <w:tcW w:w="6519" w:type="dxa"/>
            <w:tcBorders/>
          </w:tcPr>
          <w:p>
            <w:pPr>
              <w:pStyle w:val="Normal"/>
              <w:widowControl/>
              <w:spacing w:before="0" w:afterAutospacing="0" w:after="0"/>
              <w:ind w:hanging="0"/>
              <w:jc w:val="both"/>
              <w:textAlignment w:val="auto"/>
              <w:rPr>
                <w:rFonts w:ascii="Arial" w:hAnsi="Arial" w:cs="Arial"/>
                <w:b/>
                <w:lang w:val="lt-LT"/>
              </w:rPr>
            </w:pPr>
            <w:r>
              <w:rPr>
                <w:rFonts w:eastAsia="Calibri" w:cs="Arial" w:ascii="Arial" w:hAnsi="Arial"/>
                <w:b/>
                <w:color w:val="000000"/>
                <w:kern w:val="0"/>
                <w:sz w:val="22"/>
                <w:szCs w:val="22"/>
                <w:lang w:val="lt-LT" w:eastAsia="lt-LT" w:bidi="ar-SA"/>
              </w:rPr>
              <w:t>Transmisija:</w:t>
            </w:r>
          </w:p>
        </w:tc>
        <w:tc>
          <w:tcPr>
            <w:tcW w:w="2695" w:type="dxa"/>
            <w:tcBorders/>
          </w:tcPr>
          <w:p>
            <w:pPr>
              <w:pStyle w:val="Normal"/>
              <w:widowControl/>
              <w:spacing w:before="0" w:afterAutospacing="0" w:after="0"/>
              <w:ind w:hanging="0"/>
              <w:jc w:val="both"/>
              <w:textAlignment w:val="auto"/>
              <w:rPr>
                <w:rFonts w:ascii="Arial" w:hAnsi="Arial" w:cs="Arial"/>
                <w:b/>
                <w:color w:val="000000"/>
                <w:lang w:eastAsia="lt-LT"/>
              </w:rPr>
            </w:pPr>
            <w:r>
              <w:rPr>
                <w:rFonts w:eastAsia="Calibri" w:cs="Arial" w:ascii="Arial" w:hAnsi="Arial"/>
                <w:b/>
                <w:color w:val="000000"/>
                <w:kern w:val="0"/>
                <w:sz w:val="22"/>
                <w:szCs w:val="22"/>
                <w:lang w:val="en-GB" w:eastAsia="lt-LT" w:bidi="ar-SA"/>
              </w:rPr>
            </w:r>
          </w:p>
        </w:tc>
      </w:tr>
      <w:tr>
        <w:trPr>
          <w:trHeight w:val="61"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color w:val="000000"/>
                <w:kern w:val="0"/>
                <w:sz w:val="22"/>
                <w:szCs w:val="22"/>
                <w:lang w:val="lt-LT" w:eastAsia="en-US" w:bidi="ar-SA"/>
              </w:rPr>
              <w:t>6.1.</w:t>
            </w:r>
          </w:p>
        </w:tc>
        <w:tc>
          <w:tcPr>
            <w:tcW w:w="6519" w:type="dxa"/>
            <w:tcBorders/>
          </w:tcPr>
          <w:p>
            <w:pPr>
              <w:pStyle w:val="Normal"/>
              <w:widowControl/>
              <w:spacing w:before="0" w:afterAutospacing="0" w:after="0"/>
              <w:ind w:hanging="0"/>
              <w:jc w:val="both"/>
              <w:textAlignment w:val="auto"/>
              <w:rPr>
                <w:rFonts w:ascii="Arial" w:hAnsi="Arial" w:eastAsia="Times New Roman" w:cs="Arial"/>
                <w:color w:val="FF0000"/>
                <w:lang w:val="lt-LT" w:eastAsia="lt-LT"/>
              </w:rPr>
            </w:pPr>
            <w:r>
              <w:rPr>
                <w:rFonts w:eastAsia="Times New Roman" w:cs="Arial" w:ascii="Arial" w:hAnsi="Arial"/>
                <w:kern w:val="0"/>
                <w:sz w:val="22"/>
                <w:szCs w:val="22"/>
                <w:lang w:val="lt-LT" w:eastAsia="lt-LT" w:bidi="ar-SA"/>
              </w:rPr>
              <w:t>hidrostatinė / mechaninė, ne mažiau 2 darbo režimų (darbinis ir transportinė);</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131"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6.2.</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priekinio ir galinio tiltų diferencialų blokuotės;</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192"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6.3.</w:t>
            </w:r>
          </w:p>
        </w:tc>
        <w:tc>
          <w:tcPr>
            <w:tcW w:w="6519" w:type="dxa"/>
            <w:tcBorders/>
          </w:tcPr>
          <w:p>
            <w:pPr>
              <w:pStyle w:val="Normal"/>
              <w:widowControl/>
              <w:spacing w:before="0" w:afterAutospacing="0" w:after="0"/>
              <w:ind w:hanging="0"/>
              <w:jc w:val="both"/>
              <w:textAlignment w:val="auto"/>
              <w:rPr>
                <w:rFonts w:ascii="Arial" w:hAnsi="Arial" w:eastAsia="Times New Roman" w:cs="Arial"/>
                <w:highlight w:val="yellow"/>
                <w:lang w:val="lt-LT"/>
              </w:rPr>
            </w:pPr>
            <w:r>
              <w:rPr>
                <w:rFonts w:eastAsia="Arial" w:cs="Arial" w:ascii="Arial" w:hAnsi="Arial"/>
                <w:kern w:val="0"/>
                <w:sz w:val="22"/>
                <w:szCs w:val="22"/>
                <w:lang w:val="lt-LT" w:eastAsia="en-US" w:bidi="ar-SA"/>
              </w:rPr>
              <w:t xml:space="preserve"> </w:t>
            </w:r>
            <w:r>
              <w:rPr>
                <w:rFonts w:eastAsia="Arial" w:cs="Arial" w:ascii="Arial" w:hAnsi="Arial"/>
                <w:kern w:val="0"/>
                <w:sz w:val="22"/>
                <w:szCs w:val="22"/>
                <w:lang w:val="lt-LT" w:eastAsia="en-US" w:bidi="ar-SA"/>
              </w:rPr>
              <w:t xml:space="preserve">6 varantieji ratai FKF („šaukšto") profilio ir nemažesnių išmatavimų kaip 710/40X22.5 priekyje ir  500/50X17 gale padangomis, kurios yra su nemažesniu kaip 18 padangų sluoksnių reitingu </w:t>
            </w:r>
            <w:r>
              <w:rPr>
                <w:rFonts w:eastAsia="Arial" w:cs="Arial" w:ascii="Arial" w:hAnsi="Arial"/>
                <w:i/>
                <w:iCs/>
                <w:kern w:val="0"/>
                <w:sz w:val="22"/>
                <w:szCs w:val="22"/>
                <w:lang w:val="lt-LT" w:eastAsia="en-US" w:bidi="ar-SA"/>
              </w:rPr>
              <w:t>(„ply rating“</w:t>
            </w:r>
            <w:r>
              <w:rPr>
                <w:rFonts w:eastAsia="Arial" w:cs="Arial" w:ascii="Arial" w:hAnsi="Arial"/>
                <w:kern w:val="0"/>
                <w:sz w:val="22"/>
                <w:szCs w:val="22"/>
                <w:lang w:val="lt-LT" w:eastAsia="en-US" w:bidi="ar-SA"/>
              </w:rPr>
              <w:t>), skirtos miško technikai. Padangos turi būti tinkamos darbui su vikšrais ir/ar grandinėmis;</w:t>
            </w:r>
            <w:r>
              <w:rPr>
                <w:rFonts w:eastAsia="Times New Roman" w:cs="Arial" w:ascii="Arial" w:hAnsi="Arial"/>
                <w:color w:themeColor="text1" w:val="000000"/>
                <w:kern w:val="0"/>
                <w:sz w:val="22"/>
                <w:szCs w:val="22"/>
                <w:lang w:val="lt-LT" w:eastAsia="en-US" w:bidi="ar-SA"/>
              </w:rPr>
              <w:t xml:space="preserve"> Padangos turi būti naujos (nerestauruotos);</w:t>
            </w:r>
          </w:p>
        </w:tc>
        <w:tc>
          <w:tcPr>
            <w:tcW w:w="2695" w:type="dxa"/>
            <w:tcBorders/>
          </w:tcPr>
          <w:p>
            <w:pPr>
              <w:pStyle w:val="Normal"/>
              <w:widowControl/>
              <w:spacing w:before="0" w:afterAutospacing="0" w:after="0"/>
              <w:ind w:hanging="0"/>
              <w:jc w:val="both"/>
              <w:textAlignment w:val="auto"/>
              <w:rPr>
                <w:rFonts w:ascii="Arial" w:hAnsi="Arial" w:eastAsia="Arial" w:cs="Arial"/>
                <w:lang w:val="pt-BR"/>
              </w:rPr>
            </w:pPr>
            <w:r>
              <w:rPr>
                <w:rFonts w:eastAsia="Arial" w:cs="Arial" w:ascii="Arial" w:hAnsi="Arial"/>
                <w:kern w:val="0"/>
                <w:sz w:val="22"/>
                <w:szCs w:val="22"/>
                <w:lang w:val="pt-BR" w:eastAsia="en-US" w:bidi="ar-SA"/>
              </w:rPr>
            </w:r>
          </w:p>
        </w:tc>
      </w:tr>
      <w:tr>
        <w:trPr>
          <w:trHeight w:val="300"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6.4.</w:t>
            </w:r>
          </w:p>
        </w:tc>
        <w:tc>
          <w:tcPr>
            <w:tcW w:w="6519" w:type="dxa"/>
            <w:tcBorders/>
          </w:tcPr>
          <w:p>
            <w:pPr>
              <w:pStyle w:val="Normal"/>
              <w:widowControl/>
              <w:spacing w:before="0" w:afterAutospacing="0" w:after="0"/>
              <w:ind w:hanging="0"/>
              <w:jc w:val="both"/>
              <w:textAlignment w:val="auto"/>
              <w:rPr>
                <w:rFonts w:ascii="Arial" w:hAnsi="Arial" w:eastAsia="Times New Roman" w:cs="Arial"/>
                <w:color w:themeColor="text1" w:val="000000"/>
                <w:lang w:val="lt-LT" w:eastAsia="lt-LT"/>
              </w:rPr>
            </w:pPr>
            <w:r>
              <w:rPr>
                <w:rFonts w:eastAsia="Times New Roman" w:cs="Arial" w:ascii="Arial" w:hAnsi="Arial"/>
                <w:color w:themeColor="text1" w:val="000000"/>
                <w:kern w:val="0"/>
                <w:sz w:val="22"/>
                <w:szCs w:val="22"/>
                <w:lang w:val="lt-LT" w:eastAsia="lt-LT" w:bidi="ar-SA"/>
              </w:rPr>
              <w:t>traukimo kilpa gale;</w:t>
            </w:r>
          </w:p>
        </w:tc>
        <w:tc>
          <w:tcPr>
            <w:tcW w:w="2695" w:type="dxa"/>
            <w:tcBorders/>
          </w:tcPr>
          <w:p>
            <w:pPr>
              <w:pStyle w:val="Normal"/>
              <w:widowControl/>
              <w:spacing w:before="0" w:afterAutospacing="0" w:after="0"/>
              <w:ind w:hanging="0"/>
              <w:jc w:val="both"/>
              <w:textAlignment w:val="auto"/>
              <w:rPr>
                <w:rFonts w:ascii="Arial" w:hAnsi="Arial" w:eastAsia="Times New Roman" w:cs="Arial"/>
                <w:color w:themeColor="text1" w:val="000000"/>
                <w:lang w:eastAsia="lt-LT"/>
              </w:rPr>
            </w:pPr>
            <w:r>
              <w:rPr>
                <w:rFonts w:eastAsia="Times New Roman" w:cs="Arial" w:ascii="Arial" w:hAnsi="Arial"/>
                <w:color w:themeColor="text1" w:val="000000"/>
                <w:kern w:val="0"/>
                <w:sz w:val="22"/>
                <w:szCs w:val="22"/>
                <w:lang w:val="en-GB" w:eastAsia="lt-LT" w:bidi="ar-SA"/>
              </w:rPr>
            </w:r>
          </w:p>
        </w:tc>
      </w:tr>
      <w:tr>
        <w:trPr>
          <w:trHeight w:val="133"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6.5.</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themeColor="text1" w:val="000000"/>
                <w:lang w:val="lt-LT" w:eastAsia="lt-LT"/>
              </w:rPr>
            </w:pPr>
            <w:r>
              <w:rPr>
                <w:rFonts w:eastAsia="Times New Roman" w:cs="Arial" w:ascii="Arial" w:hAnsi="Arial"/>
                <w:color w:themeColor="text1" w:val="000000"/>
                <w:kern w:val="0"/>
                <w:sz w:val="22"/>
                <w:szCs w:val="22"/>
                <w:lang w:val="lt-LT" w:eastAsia="lt-LT" w:bidi="ar-SA"/>
              </w:rPr>
              <w:t xml:space="preserve">traukos jėga ne mažiau </w:t>
            </w:r>
            <w:r>
              <w:rPr>
                <w:rFonts w:eastAsia="Times New Roman" w:cs="Arial" w:ascii="Arial" w:hAnsi="Arial"/>
                <w:kern w:val="0"/>
                <w:sz w:val="22"/>
                <w:szCs w:val="22"/>
                <w:lang w:val="lt-LT" w:eastAsia="lt-LT" w:bidi="ar-SA"/>
              </w:rPr>
              <w:t>55</w:t>
            </w:r>
            <w:r>
              <w:rPr>
                <w:rFonts w:eastAsia="Times New Roman" w:cs="Arial" w:ascii="Arial" w:hAnsi="Arial"/>
                <w:color w:themeColor="text1" w:val="000000"/>
                <w:kern w:val="0"/>
                <w:sz w:val="22"/>
                <w:szCs w:val="22"/>
                <w:lang w:val="lt-LT" w:eastAsia="lt-LT" w:bidi="ar-SA"/>
              </w:rPr>
              <w:t xml:space="preserve"> kN;</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themeColor="text1" w:val="000000"/>
                <w:lang w:val="lt-LT" w:eastAsia="lt-LT"/>
              </w:rPr>
            </w:pPr>
            <w:r>
              <w:rPr>
                <w:rFonts w:eastAsia="Times New Roman" w:cs="Arial" w:ascii="Arial" w:hAnsi="Arial"/>
                <w:color w:themeColor="text1" w:val="000000"/>
                <w:kern w:val="0"/>
                <w:sz w:val="22"/>
                <w:szCs w:val="22"/>
                <w:lang w:val="lt-LT" w:eastAsia="lt-LT" w:bidi="ar-SA"/>
              </w:rPr>
            </w:r>
          </w:p>
        </w:tc>
      </w:tr>
      <w:tr>
        <w:trPr>
          <w:trHeight w:val="144"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6.6.</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themeColor="text1" w:val="000000"/>
                <w:lang w:val="lt-LT" w:eastAsia="lt-LT"/>
              </w:rPr>
            </w:pPr>
            <w:r>
              <w:rPr>
                <w:rFonts w:eastAsia="Times New Roman" w:cs="Arial" w:ascii="Arial" w:hAnsi="Arial"/>
                <w:color w:themeColor="text1" w:val="000000"/>
                <w:kern w:val="0"/>
                <w:sz w:val="22"/>
                <w:szCs w:val="22"/>
                <w:lang w:val="lt-LT" w:eastAsia="lt-LT" w:bidi="ar-SA"/>
              </w:rPr>
              <w:t xml:space="preserve">lankstus rėmas su hidrauliniu posūkio mechanizmu, rėmo posūkio kampas ne mažiau </w:t>
            </w:r>
            <w:r>
              <w:rPr>
                <w:rFonts w:eastAsia="Times New Roman" w:cs="Arial" w:ascii="Arial" w:hAnsi="Arial"/>
                <w:kern w:val="0"/>
                <w:sz w:val="22"/>
                <w:szCs w:val="22"/>
                <w:lang w:val="lt-LT" w:eastAsia="en-US" w:bidi="ar-SA"/>
              </w:rPr>
              <w:t>+/- 40º</w:t>
            </w:r>
            <w:r>
              <w:rPr>
                <w:rFonts w:eastAsia="Times New Roman" w:cs="Arial" w:ascii="Arial" w:hAnsi="Arial"/>
                <w:kern w:val="0"/>
                <w:sz w:val="22"/>
                <w:szCs w:val="22"/>
                <w:lang w:val="lt-LT" w:eastAsia="lt-LT" w:bidi="ar-SA"/>
              </w:rPr>
              <w:t xml:space="preserve">; </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themeColor="text1" w:val="000000"/>
                <w:lang w:val="lt-LT" w:eastAsia="lt-LT"/>
              </w:rPr>
            </w:pPr>
            <w:r>
              <w:rPr>
                <w:rFonts w:eastAsia="Times New Roman" w:cs="Arial" w:ascii="Arial" w:hAnsi="Arial"/>
                <w:color w:themeColor="text1" w:val="000000"/>
                <w:kern w:val="0"/>
                <w:sz w:val="22"/>
                <w:szCs w:val="22"/>
                <w:lang w:val="lt-LT" w:eastAsia="lt-LT" w:bidi="ar-SA"/>
              </w:rPr>
            </w:r>
          </w:p>
        </w:tc>
      </w:tr>
      <w:tr>
        <w:trPr>
          <w:trHeight w:val="17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6.7.</w:t>
            </w:r>
          </w:p>
        </w:tc>
        <w:tc>
          <w:tcPr>
            <w:tcW w:w="6519" w:type="dxa"/>
            <w:tcBorders/>
          </w:tcPr>
          <w:p>
            <w:pPr>
              <w:pStyle w:val="Normal"/>
              <w:widowControl/>
              <w:spacing w:before="0" w:afterAutospacing="0" w:after="0"/>
              <w:ind w:firstLine="1"/>
              <w:jc w:val="both"/>
              <w:textAlignment w:val="auto"/>
              <w:rPr>
                <w:rFonts w:ascii="Arial" w:hAnsi="Arial" w:eastAsia="Times New Roman" w:cs="Arial"/>
                <w:strike/>
                <w:lang w:val="lt-LT" w:eastAsia="lt-LT"/>
              </w:rPr>
            </w:pPr>
            <w:r>
              <w:rPr>
                <w:rFonts w:eastAsia="Times New Roman" w:cs="Arial" w:ascii="Arial" w:hAnsi="Arial"/>
                <w:color w:themeColor="text1" w:val="000000"/>
                <w:kern w:val="0"/>
                <w:sz w:val="22"/>
                <w:szCs w:val="22"/>
                <w:lang w:val="lt-LT" w:eastAsia="en-US" w:bidi="ar-SA"/>
              </w:rPr>
              <w:t xml:space="preserve">centrinio šarnyro blokavimo sistema arba kitas techninis sprendimas </w:t>
            </w:r>
            <w:r>
              <w:rPr>
                <w:rFonts w:eastAsia="Times New Roman" w:cs="Arial" w:ascii="Arial" w:hAnsi="Arial"/>
                <w:kern w:val="0"/>
                <w:sz w:val="22"/>
                <w:szCs w:val="22"/>
                <w:lang w:val="lt-LT" w:eastAsia="lt-LT" w:bidi="ar-SA"/>
              </w:rPr>
              <w:t>medkirtės stabilumui užtikrinti.</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themeColor="text1" w:val="000000"/>
                <w:lang w:val="pt-BR"/>
              </w:rPr>
            </w:pPr>
            <w:r>
              <w:rPr>
                <w:rFonts w:eastAsia="Times New Roman" w:cs="Arial" w:ascii="Arial" w:hAnsi="Arial"/>
                <w:color w:themeColor="text1" w:val="000000"/>
                <w:kern w:val="0"/>
                <w:sz w:val="22"/>
                <w:szCs w:val="22"/>
                <w:lang w:val="pt-BR" w:eastAsia="en-US" w:bidi="ar-SA"/>
              </w:rPr>
            </w:r>
          </w:p>
        </w:tc>
      </w:tr>
      <w:tr>
        <w:trPr>
          <w:trHeight w:val="146"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b/>
                <w:bCs/>
                <w:color w:val="000000"/>
                <w:kern w:val="0"/>
                <w:sz w:val="22"/>
                <w:szCs w:val="22"/>
                <w:lang w:val="lt-LT" w:eastAsia="en-US" w:bidi="ar-SA"/>
              </w:rPr>
              <w:t>7.</w:t>
            </w:r>
          </w:p>
        </w:tc>
        <w:tc>
          <w:tcPr>
            <w:tcW w:w="6519" w:type="dxa"/>
            <w:tcBorders/>
          </w:tcPr>
          <w:p>
            <w:pPr>
              <w:pStyle w:val="Normal"/>
              <w:widowControl/>
              <w:spacing w:before="0" w:afterAutospacing="0" w:after="0"/>
              <w:ind w:hanging="0"/>
              <w:jc w:val="both"/>
              <w:textAlignment w:val="auto"/>
              <w:rPr>
                <w:rFonts w:ascii="Arial" w:hAnsi="Arial" w:cs="Arial"/>
                <w:b/>
                <w:lang w:val="lt-LT"/>
              </w:rPr>
            </w:pPr>
            <w:r>
              <w:rPr>
                <w:rFonts w:eastAsia="Calibri" w:cs="Arial" w:ascii="Arial" w:hAnsi="Arial"/>
                <w:b/>
                <w:color w:val="000000"/>
                <w:kern w:val="0"/>
                <w:sz w:val="22"/>
                <w:szCs w:val="22"/>
                <w:lang w:val="lt-LT" w:eastAsia="lt-LT" w:bidi="ar-SA"/>
              </w:rPr>
              <w:t>Stabdžiai:</w:t>
            </w:r>
          </w:p>
        </w:tc>
        <w:tc>
          <w:tcPr>
            <w:tcW w:w="2695" w:type="dxa"/>
            <w:tcBorders/>
          </w:tcPr>
          <w:p>
            <w:pPr>
              <w:pStyle w:val="Normal"/>
              <w:widowControl/>
              <w:spacing w:before="0" w:afterAutospacing="0" w:after="0"/>
              <w:ind w:hanging="0"/>
              <w:jc w:val="both"/>
              <w:textAlignment w:val="auto"/>
              <w:rPr>
                <w:rFonts w:ascii="Arial" w:hAnsi="Arial" w:cs="Arial"/>
                <w:b/>
                <w:color w:val="000000"/>
                <w:lang w:eastAsia="lt-LT"/>
              </w:rPr>
            </w:pPr>
            <w:r>
              <w:rPr>
                <w:rFonts w:eastAsia="Calibri" w:cs="Arial" w:ascii="Arial" w:hAnsi="Arial"/>
                <w:b/>
                <w:color w:val="000000"/>
                <w:kern w:val="0"/>
                <w:sz w:val="22"/>
                <w:szCs w:val="22"/>
                <w:lang w:val="en-GB" w:eastAsia="lt-LT" w:bidi="ar-SA"/>
              </w:rPr>
            </w:r>
          </w:p>
        </w:tc>
      </w:tr>
      <w:tr>
        <w:trPr>
          <w:trHeight w:val="205"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color w:val="000000"/>
                <w:kern w:val="0"/>
                <w:sz w:val="22"/>
                <w:szCs w:val="22"/>
                <w:lang w:val="lt-LT" w:eastAsia="en-US" w:bidi="ar-SA"/>
              </w:rPr>
              <w:t>7.1.</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val="FF0000"/>
                <w:lang w:val="lt-LT"/>
              </w:rPr>
            </w:pPr>
            <w:r>
              <w:rPr>
                <w:rFonts w:eastAsia="Times New Roman" w:cs="Arial" w:ascii="Arial" w:hAnsi="Arial"/>
                <w:kern w:val="0"/>
                <w:sz w:val="22"/>
                <w:szCs w:val="22"/>
                <w:lang w:val="lt-LT" w:eastAsia="en-US" w:bidi="ar-SA"/>
              </w:rPr>
              <w:t>stabdžiai, automatiškai įsijungiantys / išsijungiantys manipuliatoriaus darbo režime;</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rHeight w:val="138"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7.2.</w:t>
            </w:r>
          </w:p>
        </w:tc>
        <w:tc>
          <w:tcPr>
            <w:tcW w:w="6519"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bCs/>
                <w:kern w:val="0"/>
                <w:sz w:val="22"/>
                <w:szCs w:val="22"/>
                <w:lang w:val="lt-LT" w:eastAsia="en-US" w:bidi="ar-SA"/>
              </w:rPr>
              <w:t>stovėjimo stabdis, avarinis stabdis.</w:t>
            </w:r>
          </w:p>
        </w:tc>
        <w:tc>
          <w:tcPr>
            <w:tcW w:w="2695" w:type="dxa"/>
            <w:tcBorders/>
          </w:tcPr>
          <w:p>
            <w:pPr>
              <w:pStyle w:val="Normal"/>
              <w:widowControl/>
              <w:spacing w:before="0" w:afterAutospacing="0" w:after="0"/>
              <w:ind w:hanging="0"/>
              <w:jc w:val="both"/>
              <w:textAlignment w:val="auto"/>
              <w:rPr>
                <w:rFonts w:ascii="Arial" w:hAnsi="Arial" w:cs="Arial"/>
                <w:bCs/>
              </w:rPr>
            </w:pPr>
            <w:r>
              <w:rPr>
                <w:rFonts w:eastAsia="Calibri" w:cs="Arial" w:ascii="Arial" w:hAnsi="Arial"/>
                <w:bCs/>
                <w:kern w:val="0"/>
                <w:sz w:val="22"/>
                <w:szCs w:val="22"/>
                <w:lang w:val="en-GB" w:eastAsia="en-US" w:bidi="ar-SA"/>
              </w:rPr>
            </w:r>
          </w:p>
        </w:tc>
      </w:tr>
      <w:tr>
        <w:trPr>
          <w:trHeight w:val="198"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b/>
                <w:bCs/>
                <w:color w:val="000000"/>
                <w:kern w:val="0"/>
                <w:sz w:val="22"/>
                <w:szCs w:val="22"/>
                <w:lang w:val="lt-LT" w:eastAsia="en-US" w:bidi="ar-SA"/>
              </w:rPr>
              <w:t>8.</w:t>
            </w:r>
          </w:p>
        </w:tc>
        <w:tc>
          <w:tcPr>
            <w:tcW w:w="6519" w:type="dxa"/>
            <w:tcBorders/>
          </w:tcPr>
          <w:p>
            <w:pPr>
              <w:pStyle w:val="Normal"/>
              <w:widowControl/>
              <w:spacing w:before="0" w:afterAutospacing="0" w:after="0"/>
              <w:ind w:hanging="0"/>
              <w:jc w:val="both"/>
              <w:textAlignment w:val="auto"/>
              <w:rPr>
                <w:rFonts w:ascii="Arial" w:hAnsi="Arial" w:cs="Arial"/>
                <w:b/>
                <w:lang w:val="lt-LT"/>
              </w:rPr>
            </w:pPr>
            <w:r>
              <w:rPr>
                <w:rFonts w:eastAsia="Calibri" w:cs="Arial" w:ascii="Arial" w:hAnsi="Arial"/>
                <w:b/>
                <w:color w:val="000000"/>
                <w:kern w:val="0"/>
                <w:sz w:val="22"/>
                <w:szCs w:val="22"/>
                <w:lang w:val="lt-LT" w:eastAsia="lt-LT" w:bidi="ar-SA"/>
              </w:rPr>
              <w:t>Svoris ir matmenys:</w:t>
            </w:r>
          </w:p>
        </w:tc>
        <w:tc>
          <w:tcPr>
            <w:tcW w:w="2695" w:type="dxa"/>
            <w:tcBorders/>
          </w:tcPr>
          <w:p>
            <w:pPr>
              <w:pStyle w:val="Normal"/>
              <w:widowControl/>
              <w:spacing w:before="0" w:afterAutospacing="0" w:after="0"/>
              <w:ind w:hanging="0"/>
              <w:jc w:val="both"/>
              <w:textAlignment w:val="auto"/>
              <w:rPr>
                <w:rFonts w:ascii="Arial" w:hAnsi="Arial" w:cs="Arial"/>
                <w:b/>
                <w:color w:val="000000"/>
                <w:lang w:eastAsia="lt-LT"/>
              </w:rPr>
            </w:pPr>
            <w:r>
              <w:rPr>
                <w:rFonts w:eastAsia="Calibri" w:cs="Arial" w:ascii="Arial" w:hAnsi="Arial"/>
                <w:b/>
                <w:color w:val="000000"/>
                <w:kern w:val="0"/>
                <w:sz w:val="22"/>
                <w:szCs w:val="22"/>
                <w:lang w:val="en-GB" w:eastAsia="lt-LT" w:bidi="ar-SA"/>
              </w:rPr>
            </w:r>
          </w:p>
        </w:tc>
      </w:tr>
      <w:tr>
        <w:trPr>
          <w:trHeight w:val="86"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color w:val="000000"/>
                <w:kern w:val="0"/>
                <w:sz w:val="22"/>
                <w:szCs w:val="22"/>
                <w:lang w:val="lt-LT" w:eastAsia="en-US" w:bidi="ar-SA"/>
              </w:rPr>
              <w:t>8.1.</w:t>
            </w:r>
          </w:p>
        </w:tc>
        <w:tc>
          <w:tcPr>
            <w:tcW w:w="6519" w:type="dxa"/>
            <w:tcBorders/>
          </w:tcPr>
          <w:p>
            <w:pPr>
              <w:pStyle w:val="Normal"/>
              <w:widowControl/>
              <w:spacing w:before="0" w:afterAutospacing="0" w:after="0"/>
              <w:ind w:firstLine="1"/>
              <w:jc w:val="both"/>
              <w:textAlignment w:val="auto"/>
              <w:rPr>
                <w:rFonts w:ascii="Arial" w:hAnsi="Arial" w:eastAsia="Times New Roman" w:cs="Arial"/>
                <w:b/>
                <w:bCs/>
                <w:color w:val="000000"/>
                <w:lang w:val="lt-LT" w:eastAsia="lt-LT"/>
              </w:rPr>
            </w:pPr>
            <w:r>
              <w:rPr>
                <w:rFonts w:eastAsia="Times New Roman" w:cs="Arial" w:ascii="Arial" w:hAnsi="Arial"/>
                <w:kern w:val="0"/>
                <w:sz w:val="22"/>
                <w:szCs w:val="22"/>
                <w:lang w:val="lt-LT" w:eastAsia="lt-LT" w:bidi="ar-SA"/>
              </w:rPr>
              <w:t xml:space="preserve">gamintojo deklaruojama medkirtės masė ne mažesnė 5,5 t ir ne daugiau 7t </w:t>
            </w:r>
            <w:r>
              <w:rPr>
                <w:rFonts w:eastAsia="Times New Roman" w:cs="Arial" w:ascii="Arial" w:hAnsi="Arial"/>
                <w:kern w:val="0"/>
                <w:sz w:val="22"/>
                <w:szCs w:val="22"/>
                <w:lang w:val="lt-LT" w:eastAsia="en-US" w:bidi="ar-SA"/>
              </w:rPr>
              <w:t>Faktinė mašinos masė gali būti ir didesnė nei gamintojo deklaruota, tačiau ne daugiau kaip 15 proc.;</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151"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8.2.</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 xml:space="preserve">prošvaisa ne mažiau kaip  400 mm (be vikšrų); </w:t>
            </w:r>
          </w:p>
        </w:tc>
        <w:tc>
          <w:tcPr>
            <w:tcW w:w="2695" w:type="dxa"/>
            <w:tcBorders/>
          </w:tcPr>
          <w:p>
            <w:pPr>
              <w:pStyle w:val="Normal"/>
              <w:widowControl/>
              <w:spacing w:before="0" w:afterAutospacing="0" w:after="0"/>
              <w:ind w:firstLine="1"/>
              <w:jc w:val="both"/>
              <w:textAlignment w:val="auto"/>
              <w:rPr>
                <w:rFonts w:ascii="Arial" w:hAnsi="Arial" w:eastAsia="Times New Roman" w:cs="Arial"/>
                <w:lang w:eastAsia="lt-LT"/>
              </w:rPr>
            </w:pPr>
            <w:r>
              <w:rPr>
                <w:rFonts w:eastAsia="Times New Roman" w:cs="Arial" w:ascii="Arial" w:hAnsi="Arial"/>
                <w:kern w:val="0"/>
                <w:sz w:val="22"/>
                <w:szCs w:val="22"/>
                <w:lang w:val="en-GB" w:eastAsia="lt-LT" w:bidi="ar-SA"/>
              </w:rPr>
            </w:r>
          </w:p>
        </w:tc>
      </w:tr>
      <w:tr>
        <w:trPr>
          <w:trHeight w:val="212"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8.3.</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transportavimo aukštis ne daugiau  3000 mm;</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130"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8.4.</w:t>
            </w:r>
          </w:p>
        </w:tc>
        <w:tc>
          <w:tcPr>
            <w:tcW w:w="6519" w:type="dxa"/>
            <w:tcBorders/>
          </w:tcPr>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degalų bako talpa ne mažiau 70 l.;</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180"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8.5.</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bendras plotis ne daugiau kaip 2400 mm;</w:t>
            </w:r>
          </w:p>
        </w:tc>
        <w:tc>
          <w:tcPr>
            <w:tcW w:w="2695" w:type="dxa"/>
            <w:tcBorders/>
          </w:tcPr>
          <w:p>
            <w:pPr>
              <w:pStyle w:val="Normal"/>
              <w:widowControl/>
              <w:spacing w:before="0" w:afterAutospacing="0" w:after="0"/>
              <w:ind w:firstLine="1"/>
              <w:jc w:val="both"/>
              <w:textAlignment w:val="auto"/>
              <w:rPr>
                <w:rFonts w:ascii="Arial" w:hAnsi="Arial" w:eastAsia="Times New Roman" w:cs="Arial"/>
                <w:lang w:eastAsia="lt-LT"/>
              </w:rPr>
            </w:pPr>
            <w:r>
              <w:rPr>
                <w:rFonts w:eastAsia="Times New Roman" w:cs="Arial" w:ascii="Arial" w:hAnsi="Arial"/>
                <w:kern w:val="0"/>
                <w:sz w:val="22"/>
                <w:szCs w:val="22"/>
                <w:lang w:val="en-GB" w:eastAsia="lt-LT" w:bidi="ar-SA"/>
              </w:rPr>
            </w:r>
          </w:p>
        </w:tc>
      </w:tr>
      <w:tr>
        <w:trPr>
          <w:trHeight w:val="122"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b/>
                <w:bCs/>
                <w:color w:val="000000"/>
                <w:kern w:val="0"/>
                <w:sz w:val="22"/>
                <w:szCs w:val="22"/>
                <w:lang w:val="lt-LT" w:eastAsia="en-US" w:bidi="ar-SA"/>
              </w:rPr>
              <w:t>9.</w:t>
            </w:r>
          </w:p>
        </w:tc>
        <w:tc>
          <w:tcPr>
            <w:tcW w:w="6519" w:type="dxa"/>
            <w:tcBorders/>
          </w:tcPr>
          <w:p>
            <w:pPr>
              <w:pStyle w:val="Normal"/>
              <w:widowControl/>
              <w:spacing w:before="0" w:afterAutospacing="0" w:after="0"/>
              <w:ind w:firstLine="1"/>
              <w:jc w:val="both"/>
              <w:textAlignment w:val="auto"/>
              <w:rPr>
                <w:rFonts w:ascii="Arial" w:hAnsi="Arial" w:eastAsia="Times New Roman" w:cs="Arial"/>
                <w:bCs/>
                <w:lang w:val="lt-LT"/>
              </w:rPr>
            </w:pPr>
            <w:r>
              <w:rPr>
                <w:rFonts w:eastAsia="Times New Roman" w:cs="Arial" w:ascii="Arial" w:hAnsi="Arial"/>
                <w:b/>
                <w:bCs/>
                <w:color w:val="000000"/>
                <w:kern w:val="0"/>
                <w:sz w:val="22"/>
                <w:szCs w:val="22"/>
                <w:lang w:val="lt-LT" w:eastAsia="lt-LT" w:bidi="ar-SA"/>
              </w:rPr>
              <w:t xml:space="preserve">Manipuliatorius:                                                                </w:t>
            </w:r>
          </w:p>
        </w:tc>
        <w:tc>
          <w:tcPr>
            <w:tcW w:w="2695" w:type="dxa"/>
            <w:tcBorders/>
          </w:tcPr>
          <w:p>
            <w:pPr>
              <w:pStyle w:val="Normal"/>
              <w:widowControl/>
              <w:spacing w:before="0" w:afterAutospacing="0" w:after="0"/>
              <w:ind w:firstLine="1"/>
              <w:jc w:val="both"/>
              <w:textAlignment w:val="auto"/>
              <w:rPr>
                <w:rFonts w:ascii="Arial" w:hAnsi="Arial" w:eastAsia="Times New Roman" w:cs="Arial"/>
                <w:b/>
                <w:bCs/>
                <w:color w:val="000000"/>
                <w:lang w:eastAsia="lt-LT"/>
              </w:rPr>
            </w:pPr>
            <w:r>
              <w:rPr>
                <w:rFonts w:eastAsia="Times New Roman" w:cs="Arial" w:ascii="Arial" w:hAnsi="Arial"/>
                <w:b/>
                <w:bCs/>
                <w:color w:val="000000"/>
                <w:kern w:val="0"/>
                <w:sz w:val="22"/>
                <w:szCs w:val="22"/>
                <w:lang w:val="en-GB" w:eastAsia="lt-LT" w:bidi="ar-SA"/>
              </w:rPr>
            </w:r>
          </w:p>
        </w:tc>
      </w:tr>
      <w:tr>
        <w:trPr>
          <w:trHeight w:val="162"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color w:val="000000"/>
                <w:kern w:val="0"/>
                <w:sz w:val="22"/>
                <w:szCs w:val="22"/>
                <w:lang w:val="lt-LT" w:eastAsia="en-US" w:bidi="ar-SA"/>
              </w:rPr>
              <w:t>9.1.</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manipuliatoriaus siekis ne mažiau kaip 6,0 m</w:t>
            </w:r>
          </w:p>
        </w:tc>
        <w:tc>
          <w:tcPr>
            <w:tcW w:w="2695" w:type="dxa"/>
            <w:tcBorders/>
          </w:tcPr>
          <w:p>
            <w:pPr>
              <w:pStyle w:val="Normal"/>
              <w:widowControl/>
              <w:spacing w:before="0" w:afterAutospacing="0" w:after="0"/>
              <w:ind w:firstLine="1"/>
              <w:jc w:val="both"/>
              <w:textAlignment w:val="auto"/>
              <w:rPr>
                <w:rFonts w:ascii="Arial" w:hAnsi="Arial" w:eastAsia="Times New Roman" w:cs="Arial"/>
                <w:lang w:eastAsia="lt-LT"/>
              </w:rPr>
            </w:pPr>
            <w:r>
              <w:rPr>
                <w:rFonts w:eastAsia="Times New Roman" w:cs="Arial" w:ascii="Arial" w:hAnsi="Arial"/>
                <w:kern w:val="0"/>
                <w:sz w:val="22"/>
                <w:szCs w:val="22"/>
                <w:lang w:val="en-GB" w:eastAsia="lt-LT" w:bidi="ar-SA"/>
              </w:rPr>
            </w:r>
          </w:p>
        </w:tc>
      </w:tr>
      <w:tr>
        <w:trPr>
          <w:trHeight w:val="256"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9.2.</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color w:themeColor="text1" w:val="000000"/>
                <w:kern w:val="0"/>
                <w:sz w:val="22"/>
                <w:szCs w:val="22"/>
                <w:lang w:val="lt-LT" w:eastAsia="lt-LT" w:bidi="ar-SA"/>
              </w:rPr>
              <w:t>manipuliatoriaus kėlimo momentas, ne mažiau 37 kNm;</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themeColor="text1" w:val="000000"/>
                <w:lang w:val="pt-BR" w:eastAsia="lt-LT"/>
              </w:rPr>
            </w:pPr>
            <w:r>
              <w:rPr>
                <w:rFonts w:eastAsia="Times New Roman" w:cs="Arial" w:ascii="Arial" w:hAnsi="Arial"/>
                <w:color w:themeColor="text1" w:val="000000"/>
                <w:kern w:val="0"/>
                <w:sz w:val="22"/>
                <w:szCs w:val="22"/>
                <w:lang w:val="pt-BR" w:eastAsia="lt-LT" w:bidi="ar-SA"/>
              </w:rPr>
            </w:r>
          </w:p>
        </w:tc>
      </w:tr>
      <w:tr>
        <w:trPr>
          <w:trHeight w:val="132"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9.3.</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color w:themeColor="text1" w:val="000000"/>
                <w:kern w:val="0"/>
                <w:sz w:val="22"/>
                <w:szCs w:val="22"/>
                <w:lang w:val="lt-LT" w:eastAsia="lt-LT" w:bidi="ar-SA"/>
              </w:rPr>
              <w:t>manipuliatoriaus posūkio momentas, ne mažiau kaip 14 kNm;</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themeColor="text1" w:val="000000"/>
                <w:lang w:val="pt-BR" w:eastAsia="lt-LT"/>
              </w:rPr>
            </w:pPr>
            <w:r>
              <w:rPr>
                <w:rFonts w:eastAsia="Times New Roman" w:cs="Arial" w:ascii="Arial" w:hAnsi="Arial"/>
                <w:color w:themeColor="text1" w:val="000000"/>
                <w:kern w:val="0"/>
                <w:sz w:val="22"/>
                <w:szCs w:val="22"/>
                <w:lang w:val="pt-BR" w:eastAsia="lt-LT" w:bidi="ar-SA"/>
              </w:rPr>
            </w:r>
          </w:p>
        </w:tc>
      </w:tr>
      <w:tr>
        <w:trPr>
          <w:trHeight w:val="20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9.4.</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manipuliatoriaus posūkio kampas, ne mažiau 250 laipsnių;</w:t>
            </w:r>
          </w:p>
        </w:tc>
        <w:tc>
          <w:tcPr>
            <w:tcW w:w="2695" w:type="dxa"/>
            <w:tcBorders/>
          </w:tcPr>
          <w:p>
            <w:pPr>
              <w:pStyle w:val="Normal"/>
              <w:widowControl/>
              <w:spacing w:before="0" w:afterAutospacing="0" w:after="0"/>
              <w:ind w:firstLine="1"/>
              <w:jc w:val="both"/>
              <w:textAlignment w:val="auto"/>
              <w:rPr>
                <w:rFonts w:ascii="Arial" w:hAnsi="Arial" w:eastAsia="Times New Roman" w:cs="Arial"/>
                <w:lang w:eastAsia="lt-LT"/>
              </w:rPr>
            </w:pPr>
            <w:r>
              <w:rPr>
                <w:rFonts w:eastAsia="Times New Roman" w:cs="Arial" w:ascii="Arial" w:hAnsi="Arial"/>
                <w:kern w:val="0"/>
                <w:sz w:val="22"/>
                <w:szCs w:val="22"/>
                <w:lang w:val="en-GB" w:eastAsia="lt-LT" w:bidi="ar-SA"/>
              </w:rPr>
            </w:r>
          </w:p>
        </w:tc>
      </w:tr>
      <w:tr>
        <w:trPr>
          <w:trHeight w:val="197"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themeColor="text1" w:val="000000"/>
                <w:kern w:val="0"/>
                <w:sz w:val="22"/>
                <w:szCs w:val="22"/>
                <w:lang w:val="lt-LT" w:eastAsia="en-US" w:bidi="ar-SA"/>
              </w:rPr>
              <w:t>9.5.</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operatoriaus reguliuojamas manipuliatoriaus posvyrio kampas ne mažiau 15 laipsnių;</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197" w:hRule="atLeast"/>
        </w:trPr>
        <w:tc>
          <w:tcPr>
            <w:tcW w:w="846" w:type="dxa"/>
            <w:tcBorders/>
          </w:tcPr>
          <w:p>
            <w:pPr>
              <w:pStyle w:val="Normal"/>
              <w:widowControl/>
              <w:spacing w:before="0" w:afterAutospacing="0" w:after="0"/>
              <w:ind w:firstLine="1"/>
              <w:jc w:val="both"/>
              <w:textAlignment w:val="auto"/>
              <w:rPr>
                <w:rFonts w:ascii="Arial" w:hAnsi="Arial" w:eastAsia="Calibri" w:cs="Arial"/>
                <w:color w:themeColor="text1" w:val="000000"/>
                <w:lang w:val="lt-LT"/>
              </w:rPr>
            </w:pPr>
            <w:r>
              <w:rPr>
                <w:rFonts w:eastAsia="Calibri" w:cs="Arial" w:ascii="Arial" w:hAnsi="Arial"/>
                <w:color w:themeColor="text1" w:val="000000"/>
                <w:kern w:val="0"/>
                <w:sz w:val="22"/>
                <w:szCs w:val="22"/>
                <w:lang w:val="lt-LT" w:eastAsia="en-US" w:bidi="ar-SA"/>
              </w:rPr>
              <w:t>9.6.</w:t>
            </w:r>
          </w:p>
        </w:tc>
        <w:tc>
          <w:tcPr>
            <w:tcW w:w="6519" w:type="dxa"/>
            <w:tcBorders/>
          </w:tcPr>
          <w:p>
            <w:pPr>
              <w:pStyle w:val="Normal"/>
              <w:widowControl/>
              <w:spacing w:before="0" w:afterAutospacing="0" w:after="0"/>
              <w:ind w:firstLine="1"/>
              <w:jc w:val="both"/>
              <w:textAlignment w:val="auto"/>
              <w:rPr>
                <w:rFonts w:ascii="Arial" w:hAnsi="Arial" w:eastAsia="Times New Roman" w:cs="Arial"/>
                <w:highlight w:val="yellow"/>
                <w:lang w:val="lt-LT" w:eastAsia="lt-LT"/>
              </w:rPr>
            </w:pPr>
            <w:r>
              <w:rPr>
                <w:rFonts w:eastAsia="Times New Roman" w:cs="Arial" w:ascii="Arial" w:hAnsi="Arial"/>
                <w:kern w:val="0"/>
                <w:sz w:val="22"/>
                <w:szCs w:val="22"/>
                <w:lang w:val="lt-LT" w:eastAsia="lt-LT" w:bidi="ar-SA"/>
              </w:rPr>
              <w:t>galvutės pakaba, stabilizuojanti judėjimą su diskiniu stabdžiu;</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9.7.</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manipuliatorius ir kirtimo galvutė valdoma vienu iš variantų: a) minisvirčių su integruotais išankstinio operacijų pasirinkimo jungikliais, kuriais galima keisti valdymo greitį bei jautrumą; b) vairasvirtėmis su integruotais išankstinio operacijų pasirinkimo jungikliais bei mygtukais, kuriais galima keisti valdymo greitį bei jautrumą.</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2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b/>
                <w:bCs/>
                <w:color w:val="000000"/>
                <w:kern w:val="0"/>
                <w:sz w:val="22"/>
                <w:szCs w:val="22"/>
                <w:lang w:val="lt-LT" w:eastAsia="en-US" w:bidi="ar-SA"/>
              </w:rPr>
              <w:t>10.</w:t>
            </w:r>
          </w:p>
        </w:tc>
        <w:tc>
          <w:tcPr>
            <w:tcW w:w="6519" w:type="dxa"/>
            <w:tcBorders/>
          </w:tcPr>
          <w:p>
            <w:pPr>
              <w:pStyle w:val="Normal"/>
              <w:widowControl/>
              <w:spacing w:before="0" w:afterAutospacing="0" w:after="0"/>
              <w:ind w:hanging="0"/>
              <w:jc w:val="both"/>
              <w:textAlignment w:val="auto"/>
              <w:rPr>
                <w:rFonts w:ascii="Arial" w:hAnsi="Arial" w:cs="Arial"/>
                <w:b/>
                <w:lang w:val="lt-LT"/>
              </w:rPr>
            </w:pPr>
            <w:r>
              <w:rPr>
                <w:rFonts w:eastAsia="Calibri" w:cs="Arial" w:ascii="Arial" w:hAnsi="Arial"/>
                <w:b/>
                <w:kern w:val="0"/>
                <w:sz w:val="22"/>
                <w:szCs w:val="22"/>
                <w:lang w:val="lt-LT" w:eastAsia="lt-LT" w:bidi="ar-SA"/>
              </w:rPr>
              <w:t>Hidraulika:</w:t>
            </w:r>
          </w:p>
        </w:tc>
        <w:tc>
          <w:tcPr>
            <w:tcW w:w="2695" w:type="dxa"/>
            <w:tcBorders/>
          </w:tcPr>
          <w:p>
            <w:pPr>
              <w:pStyle w:val="Normal"/>
              <w:widowControl/>
              <w:spacing w:before="0" w:afterAutospacing="0" w:after="0"/>
              <w:ind w:hanging="0"/>
              <w:jc w:val="both"/>
              <w:textAlignment w:val="auto"/>
              <w:rPr>
                <w:rFonts w:ascii="Arial" w:hAnsi="Arial" w:cs="Arial"/>
                <w:b/>
                <w:lang w:eastAsia="lt-LT"/>
              </w:rPr>
            </w:pPr>
            <w:r>
              <w:rPr>
                <w:rFonts w:eastAsia="Calibri" w:cs="Arial" w:ascii="Arial" w:hAnsi="Arial"/>
                <w:b/>
                <w:kern w:val="0"/>
                <w:sz w:val="22"/>
                <w:szCs w:val="22"/>
                <w:lang w:val="en-GB" w:eastAsia="lt-LT" w:bidi="ar-SA"/>
              </w:rPr>
            </w:r>
          </w:p>
        </w:tc>
      </w:tr>
      <w:tr>
        <w:trPr>
          <w:trHeight w:val="202"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color w:val="000000"/>
                <w:kern w:val="0"/>
                <w:sz w:val="22"/>
                <w:szCs w:val="22"/>
                <w:lang w:val="lt-LT" w:eastAsia="en-US" w:bidi="ar-SA"/>
              </w:rPr>
              <w:t>10.1.</w:t>
            </w:r>
          </w:p>
        </w:tc>
        <w:tc>
          <w:tcPr>
            <w:tcW w:w="6519" w:type="dxa"/>
            <w:tcBorders/>
          </w:tcPr>
          <w:p>
            <w:pPr>
              <w:pStyle w:val="Normal"/>
              <w:widowControl/>
              <w:spacing w:before="0" w:afterAutospacing="0" w:after="0"/>
              <w:ind w:firstLine="1"/>
              <w:jc w:val="both"/>
              <w:textAlignment w:val="auto"/>
              <w:rPr>
                <w:rFonts w:ascii="Arial" w:hAnsi="Arial" w:eastAsia="Times New Roman" w:cs="Arial"/>
                <w:strike/>
                <w:lang w:val="lt-LT" w:eastAsia="lt-LT"/>
              </w:rPr>
            </w:pPr>
            <w:r>
              <w:rPr>
                <w:rFonts w:eastAsia="Times New Roman" w:cs="Arial" w:ascii="Arial" w:hAnsi="Arial"/>
                <w:kern w:val="0"/>
                <w:sz w:val="22"/>
                <w:szCs w:val="22"/>
                <w:lang w:val="lt-LT" w:eastAsia="lt-LT" w:bidi="ar-SA"/>
              </w:rPr>
              <w:t>ne mažiau vieno kontūro sistema su kintamo našumo hidrosiurbliu, atskiras kirtimo galvutę ir manipuliatorių aptarnaujantis hidrosiurblys;</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131"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10.2.</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grįžtamo hidraulinio tepalo filtrai;</w:t>
            </w:r>
          </w:p>
        </w:tc>
        <w:tc>
          <w:tcPr>
            <w:tcW w:w="2695" w:type="dxa"/>
            <w:tcBorders/>
          </w:tcPr>
          <w:p>
            <w:pPr>
              <w:pStyle w:val="Normal"/>
              <w:widowControl/>
              <w:spacing w:before="0" w:afterAutospacing="0" w:after="0"/>
              <w:ind w:firstLine="1"/>
              <w:jc w:val="both"/>
              <w:textAlignment w:val="auto"/>
              <w:rPr>
                <w:rFonts w:ascii="Arial" w:hAnsi="Arial" w:eastAsia="Times New Roman" w:cs="Arial"/>
                <w:lang w:eastAsia="lt-LT"/>
              </w:rPr>
            </w:pPr>
            <w:r>
              <w:rPr>
                <w:rFonts w:eastAsia="Times New Roman" w:cs="Arial" w:ascii="Arial" w:hAnsi="Arial"/>
                <w:kern w:val="0"/>
                <w:sz w:val="22"/>
                <w:szCs w:val="22"/>
                <w:lang w:val="en-GB" w:eastAsia="lt-LT" w:bidi="ar-SA"/>
              </w:rPr>
            </w:r>
          </w:p>
        </w:tc>
      </w:tr>
      <w:tr>
        <w:trPr>
          <w:trHeight w:val="101"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10.3.</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vakuuminis hidrosistemos siurblys;</w:t>
            </w:r>
          </w:p>
        </w:tc>
        <w:tc>
          <w:tcPr>
            <w:tcW w:w="2695" w:type="dxa"/>
            <w:tcBorders/>
          </w:tcPr>
          <w:p>
            <w:pPr>
              <w:pStyle w:val="Normal"/>
              <w:widowControl/>
              <w:spacing w:before="0" w:afterAutospacing="0" w:after="0"/>
              <w:ind w:firstLine="1"/>
              <w:jc w:val="both"/>
              <w:textAlignment w:val="auto"/>
              <w:rPr>
                <w:rFonts w:ascii="Arial" w:hAnsi="Arial" w:eastAsia="Times New Roman" w:cs="Arial"/>
                <w:lang w:eastAsia="lt-LT"/>
              </w:rPr>
            </w:pPr>
            <w:r>
              <w:rPr>
                <w:rFonts w:eastAsia="Times New Roman" w:cs="Arial" w:ascii="Arial" w:hAnsi="Arial"/>
                <w:kern w:val="0"/>
                <w:sz w:val="22"/>
                <w:szCs w:val="22"/>
                <w:lang w:val="en-GB" w:eastAsia="lt-LT" w:bidi="ar-SA"/>
              </w:rPr>
            </w:r>
          </w:p>
        </w:tc>
      </w:tr>
      <w:tr>
        <w:trPr>
          <w:trHeight w:val="120"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10.4.</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vizualinė hidraulinio tepalo žemo lygio signalizacija.</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116"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b/>
                <w:bCs/>
                <w:kern w:val="0"/>
                <w:sz w:val="22"/>
                <w:szCs w:val="22"/>
                <w:lang w:val="lt-LT" w:eastAsia="en-US" w:bidi="ar-SA"/>
              </w:rPr>
              <w:t>11.</w:t>
            </w:r>
          </w:p>
        </w:tc>
        <w:tc>
          <w:tcPr>
            <w:tcW w:w="6519" w:type="dxa"/>
            <w:tcBorders/>
          </w:tcPr>
          <w:p>
            <w:pPr>
              <w:pStyle w:val="Normal"/>
              <w:widowControl/>
              <w:spacing w:before="0" w:afterAutospacing="0" w:after="0"/>
              <w:ind w:hanging="0"/>
              <w:jc w:val="both"/>
              <w:textAlignment w:val="auto"/>
              <w:rPr>
                <w:rFonts w:ascii="Arial" w:hAnsi="Arial" w:cs="Arial"/>
                <w:b/>
                <w:lang w:val="lt-LT"/>
              </w:rPr>
            </w:pPr>
            <w:r>
              <w:rPr>
                <w:rFonts w:eastAsia="Calibri" w:cs="Arial" w:ascii="Arial" w:hAnsi="Arial"/>
                <w:b/>
                <w:kern w:val="0"/>
                <w:sz w:val="22"/>
                <w:szCs w:val="22"/>
                <w:lang w:val="lt-LT" w:eastAsia="lt-LT" w:bidi="ar-SA"/>
              </w:rPr>
              <w:t>Kirtimo galvutė:</w:t>
            </w:r>
          </w:p>
        </w:tc>
        <w:tc>
          <w:tcPr>
            <w:tcW w:w="2695" w:type="dxa"/>
            <w:tcBorders/>
          </w:tcPr>
          <w:p>
            <w:pPr>
              <w:pStyle w:val="Normal"/>
              <w:widowControl/>
              <w:spacing w:before="0" w:afterAutospacing="0" w:after="0"/>
              <w:ind w:hanging="0"/>
              <w:jc w:val="both"/>
              <w:textAlignment w:val="auto"/>
              <w:rPr>
                <w:rFonts w:ascii="Arial" w:hAnsi="Arial" w:cs="Arial"/>
                <w:b/>
                <w:lang w:eastAsia="lt-LT"/>
              </w:rPr>
            </w:pPr>
            <w:r>
              <w:rPr>
                <w:rFonts w:eastAsia="Calibri" w:cs="Arial" w:ascii="Arial" w:hAnsi="Arial"/>
                <w:b/>
                <w:kern w:val="0"/>
                <w:sz w:val="22"/>
                <w:szCs w:val="22"/>
                <w:lang w:val="en-GB" w:eastAsia="lt-LT" w:bidi="ar-SA"/>
              </w:rPr>
            </w:r>
          </w:p>
        </w:tc>
      </w:tr>
      <w:tr>
        <w:trPr>
          <w:trHeight w:val="88"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lang w:val="lt-LT"/>
              </w:rPr>
            </w:pPr>
            <w:r>
              <w:rPr>
                <w:rFonts w:eastAsia="Calibri" w:cs="Arial" w:ascii="Arial" w:hAnsi="Arial"/>
                <w:kern w:val="0"/>
                <w:sz w:val="22"/>
                <w:szCs w:val="22"/>
                <w:lang w:val="lt-LT" w:eastAsia="en-US" w:bidi="ar-SA"/>
              </w:rPr>
              <w:t>11.1.</w:t>
            </w:r>
          </w:p>
        </w:tc>
        <w:tc>
          <w:tcPr>
            <w:tcW w:w="6519" w:type="dxa"/>
            <w:tcBorders/>
          </w:tcPr>
          <w:p>
            <w:pPr>
              <w:pStyle w:val="Normal"/>
              <w:widowControl/>
              <w:spacing w:before="0" w:afterAutospacing="0" w:after="0"/>
              <w:ind w:firstLine="1"/>
              <w:jc w:val="both"/>
              <w:textAlignment w:val="auto"/>
              <w:rPr>
                <w:rFonts w:ascii="Arial" w:hAnsi="Arial" w:eastAsia="Times New Roman" w:cs="Arial"/>
                <w:b/>
                <w:bCs/>
                <w:lang w:val="lt-LT" w:eastAsia="lt-LT"/>
              </w:rPr>
            </w:pPr>
            <w:r>
              <w:rPr>
                <w:rFonts w:eastAsia="Times New Roman" w:cs="Arial" w:ascii="Arial" w:hAnsi="Arial"/>
                <w:kern w:val="0"/>
                <w:sz w:val="22"/>
                <w:szCs w:val="22"/>
                <w:lang w:val="lt-LT" w:eastAsia="lt-LT" w:bidi="ar-SA"/>
              </w:rPr>
              <w:t xml:space="preserve">medkirtės gamintojas būtų arba pats pagaminęs, arba parinkęs ir gamykloje sumontavęs siūlomai medkirtei tinkančią kirtimo galvutę; </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195"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11.2.</w:t>
            </w:r>
          </w:p>
        </w:tc>
        <w:tc>
          <w:tcPr>
            <w:tcW w:w="6519" w:type="dxa"/>
            <w:tcBorders/>
          </w:tcPr>
          <w:p>
            <w:pPr>
              <w:pStyle w:val="Normal"/>
              <w:widowControl/>
              <w:spacing w:before="0" w:afterAutospacing="0" w:after="0"/>
              <w:ind w:firstLine="1"/>
              <w:jc w:val="both"/>
              <w:textAlignment w:val="auto"/>
              <w:rPr>
                <w:rFonts w:ascii="Arial" w:hAnsi="Arial" w:eastAsia="Times New Roman" w:cs="Arial"/>
                <w:highlight w:val="yellow"/>
                <w:lang w:val="lt-LT" w:eastAsia="lt-LT"/>
              </w:rPr>
            </w:pPr>
            <w:r>
              <w:rPr>
                <w:rFonts w:eastAsia="Times New Roman" w:cs="Arial" w:ascii="Arial" w:hAnsi="Arial"/>
                <w:kern w:val="0"/>
                <w:sz w:val="22"/>
                <w:szCs w:val="22"/>
                <w:lang w:val="lt-LT" w:eastAsia="lt-LT" w:bidi="ar-SA"/>
              </w:rPr>
              <w:t>stiebo traukimo velenų skaičius, ne mažiau 2;</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114"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11.3.</w:t>
            </w:r>
          </w:p>
        </w:tc>
        <w:tc>
          <w:tcPr>
            <w:tcW w:w="6519" w:type="dxa"/>
            <w:tcBorders/>
          </w:tcPr>
          <w:p>
            <w:pPr>
              <w:pStyle w:val="Normal"/>
              <w:widowControl/>
              <w:spacing w:before="0" w:afterAutospacing="0" w:after="0"/>
              <w:ind w:firstLine="1"/>
              <w:jc w:val="both"/>
              <w:textAlignment w:val="auto"/>
              <w:rPr>
                <w:rFonts w:ascii="Arial" w:hAnsi="Arial" w:eastAsia="Times New Roman" w:cs="Arial"/>
                <w:highlight w:val="yellow"/>
                <w:lang w:val="lt-LT" w:eastAsia="lt-LT"/>
              </w:rPr>
            </w:pPr>
            <w:r>
              <w:rPr>
                <w:rFonts w:eastAsia="Times New Roman" w:cs="Arial" w:ascii="Arial" w:hAnsi="Arial"/>
                <w:kern w:val="0"/>
                <w:sz w:val="22"/>
                <w:szCs w:val="22"/>
                <w:lang w:val="lt-LT" w:eastAsia="lt-LT" w:bidi="ar-SA"/>
              </w:rPr>
              <w:t xml:space="preserve">maksimalus traukimo velenų atsidarymas, ne mažiau  325 mm; </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174"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11.4.</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genėjimo peilių skaičius, ne mažiau 4 vnt.;</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105"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11.5.</w:t>
            </w:r>
          </w:p>
        </w:tc>
        <w:tc>
          <w:tcPr>
            <w:tcW w:w="6519" w:type="dxa"/>
            <w:tcBorders/>
          </w:tcPr>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maksimalus genėjimo peilių atsidarymas ne mažiau 350 mm;</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166"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11.6.</w:t>
            </w:r>
          </w:p>
        </w:tc>
        <w:tc>
          <w:tcPr>
            <w:tcW w:w="6519" w:type="dxa"/>
            <w:tcBorders/>
          </w:tcPr>
          <w:p>
            <w:pPr>
              <w:pStyle w:val="Normal"/>
              <w:widowControl/>
              <w:spacing w:before="0" w:afterAutospacing="0" w:after="0"/>
              <w:ind w:firstLine="1"/>
              <w:jc w:val="both"/>
              <w:textAlignment w:val="auto"/>
              <w:rPr>
                <w:rFonts w:ascii="Arial" w:hAnsi="Arial" w:eastAsia="Times New Roman" w:cs="Arial"/>
                <w:highlight w:val="yellow"/>
                <w:lang w:val="lt-LT" w:eastAsia="lt-LT"/>
              </w:rPr>
            </w:pPr>
            <w:r>
              <w:rPr>
                <w:rFonts w:eastAsia="Times New Roman" w:cs="Arial" w:ascii="Arial" w:hAnsi="Arial"/>
                <w:kern w:val="0"/>
                <w:sz w:val="22"/>
                <w:szCs w:val="22"/>
                <w:lang w:val="lt-LT" w:eastAsia="lt-LT" w:bidi="ar-SA"/>
              </w:rPr>
              <w:t>maksimalus vienu pjūviu nupjaunamas medžio stiebo diametras ne mažiau 410 mm;</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lang w:val="lt-LT"/>
              </w:rPr>
            </w:pPr>
            <w:r>
              <w:rPr>
                <w:rFonts w:eastAsia="Calibri" w:cs="Arial" w:ascii="Arial" w:hAnsi="Arial"/>
                <w:kern w:val="0"/>
                <w:sz w:val="22"/>
                <w:szCs w:val="22"/>
                <w:lang w:val="lt-LT" w:eastAsia="en-US" w:bidi="ar-SA"/>
              </w:rPr>
              <w:t>11.7.</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sortimento ilgis matuojamas atskiru, lengvai keičiamu, kopijuojančiu medžio stiebo nelygumus ratuku;</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11.8.</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kalibravimo žerglės suderintos su medkirtės matavimo sistema ir leidžiančios operatyviai atlikti kalibravimo procedūrą kirtimo galvutei;</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114"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11.9.</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velenų traukos jėga ne mažiau 14 kN;</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17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11.10.</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 xml:space="preserve">automatinis arba rankinis pjovimo grandinės tempimas ir tepimas; </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17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11.11.</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su hidrovariklių mechanine apsauga kirtimo galvutės viduje;</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249"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11.12.</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paprastai ir greitai (naudojant ne daugiau 1 įrankį) keičiama pjovimo juosta ir grandinė;</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249"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11.13.</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 xml:space="preserve">integruotas įtaisas, skirtas nupjautų medžių kelmų apdorojimui, preparatu, apsaugančiu nuo šakninės pinties . </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258"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b/>
                <w:bCs/>
                <w:color w:val="000000"/>
                <w:kern w:val="0"/>
                <w:sz w:val="22"/>
                <w:szCs w:val="22"/>
                <w:lang w:val="lt-LT" w:eastAsia="en-US" w:bidi="ar-SA"/>
              </w:rPr>
              <w:t>12.</w:t>
            </w:r>
          </w:p>
        </w:tc>
        <w:tc>
          <w:tcPr>
            <w:tcW w:w="6519" w:type="dxa"/>
            <w:tcBorders/>
          </w:tcPr>
          <w:p>
            <w:pPr>
              <w:pStyle w:val="Normal"/>
              <w:widowControl/>
              <w:spacing w:before="0" w:afterAutospacing="0" w:after="0"/>
              <w:ind w:hanging="0"/>
              <w:jc w:val="both"/>
              <w:textAlignment w:val="auto"/>
              <w:rPr>
                <w:rFonts w:ascii="Arial" w:hAnsi="Arial" w:cs="Arial"/>
                <w:b/>
                <w:lang w:val="lt-LT"/>
              </w:rPr>
            </w:pPr>
            <w:r>
              <w:rPr>
                <w:rFonts w:eastAsia="Calibri" w:cs="Arial" w:ascii="Arial" w:hAnsi="Arial"/>
                <w:b/>
                <w:kern w:val="0"/>
                <w:sz w:val="22"/>
                <w:szCs w:val="22"/>
                <w:lang w:val="lt-LT" w:eastAsia="lt-LT" w:bidi="ar-SA"/>
              </w:rPr>
              <w:t>Matavimo bei pagamintos medienos apskaitos sistema:</w:t>
            </w:r>
          </w:p>
        </w:tc>
        <w:tc>
          <w:tcPr>
            <w:tcW w:w="2695" w:type="dxa"/>
            <w:tcBorders/>
          </w:tcPr>
          <w:p>
            <w:pPr>
              <w:pStyle w:val="Normal"/>
              <w:widowControl/>
              <w:spacing w:before="0" w:afterAutospacing="0" w:after="0"/>
              <w:ind w:hanging="0"/>
              <w:jc w:val="both"/>
              <w:textAlignment w:val="auto"/>
              <w:rPr>
                <w:rFonts w:ascii="Arial" w:hAnsi="Arial" w:cs="Arial"/>
                <w:b/>
                <w:lang w:val="pt-BR" w:eastAsia="lt-LT"/>
              </w:rPr>
            </w:pPr>
            <w:r>
              <w:rPr>
                <w:rFonts w:eastAsia="Calibri" w:cs="Arial" w:ascii="Arial" w:hAnsi="Arial"/>
                <w:b/>
                <w:kern w:val="0"/>
                <w:sz w:val="22"/>
                <w:szCs w:val="22"/>
                <w:lang w:val="pt-BR" w:eastAsia="lt-LT"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color w:val="000000"/>
                <w:kern w:val="0"/>
                <w:sz w:val="22"/>
                <w:szCs w:val="22"/>
                <w:lang w:val="lt-LT" w:eastAsia="en-US" w:bidi="ar-SA"/>
              </w:rPr>
              <w:t>12.1.</w:t>
            </w:r>
          </w:p>
        </w:tc>
        <w:tc>
          <w:tcPr>
            <w:tcW w:w="6519" w:type="dxa"/>
            <w:tcBorders/>
          </w:tcPr>
          <w:p>
            <w:pPr>
              <w:pStyle w:val="Normal"/>
              <w:widowControl/>
              <w:spacing w:before="0" w:afterAutospacing="0" w:after="0"/>
              <w:ind w:firstLine="1"/>
              <w:jc w:val="both"/>
              <w:textAlignment w:val="auto"/>
              <w:rPr>
                <w:rFonts w:ascii="Arial" w:hAnsi="Arial" w:eastAsia="Times New Roman" w:cs="Arial"/>
                <w:b/>
                <w:bCs/>
                <w:color w:val="000000"/>
                <w:lang w:val="lt-LT" w:eastAsia="lt-LT"/>
              </w:rPr>
            </w:pPr>
            <w:r>
              <w:rPr>
                <w:rFonts w:eastAsia="Times New Roman" w:cs="Arial" w:ascii="Arial" w:hAnsi="Arial"/>
                <w:color w:val="000000"/>
                <w:kern w:val="0"/>
                <w:sz w:val="22"/>
                <w:szCs w:val="22"/>
                <w:lang w:val="lt-LT" w:eastAsia="lt-LT" w:bidi="ar-SA"/>
              </w:rPr>
              <w:t xml:space="preserve">medkirtės gamintojo gamykloje sumontuota, integruota darbo matavimo ir apskaitos perdavimo realiu laiku nuotolinio ryšio priemonėmis sistema, kuri leidžia prisijungti nuotoliniu būdu ir stebėti medkirtės darbo parametrus;  </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val="000000"/>
                <w:lang w:val="lt-LT" w:eastAsia="lt-LT"/>
              </w:rPr>
            </w:pPr>
            <w:r>
              <w:rPr>
                <w:rFonts w:eastAsia="Times New Roman" w:cs="Arial" w:ascii="Arial" w:hAnsi="Arial"/>
                <w:color w:val="000000"/>
                <w:kern w:val="0"/>
                <w:sz w:val="22"/>
                <w:szCs w:val="22"/>
                <w:lang w:val="lt-LT" w:eastAsia="lt-LT" w:bidi="ar-SA"/>
              </w:rPr>
            </w:r>
          </w:p>
        </w:tc>
      </w:tr>
      <w:tr>
        <w:trPr>
          <w:trHeight w:val="254"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12.2.</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val="000000"/>
                <w:lang w:val="lt-LT" w:eastAsia="lt-LT"/>
              </w:rPr>
            </w:pPr>
            <w:r>
              <w:rPr>
                <w:rFonts w:eastAsia="Times New Roman" w:cs="Arial" w:ascii="Arial" w:hAnsi="Arial"/>
                <w:color w:val="000000"/>
                <w:kern w:val="0"/>
                <w:sz w:val="22"/>
                <w:szCs w:val="22"/>
                <w:lang w:val="lt-LT" w:eastAsia="lt-LT" w:bidi="ar-SA"/>
              </w:rPr>
              <w:t>turi būti pilnai kompiuterizuota su displėjumi ir klaviatūra;</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val="000000"/>
                <w:lang w:val="lt-LT" w:eastAsia="lt-LT"/>
              </w:rPr>
            </w:pPr>
            <w:r>
              <w:rPr>
                <w:rFonts w:eastAsia="Times New Roman" w:cs="Arial" w:ascii="Arial" w:hAnsi="Arial"/>
                <w:color w:val="000000"/>
                <w:kern w:val="0"/>
                <w:sz w:val="22"/>
                <w:szCs w:val="22"/>
                <w:lang w:val="lt-LT" w:eastAsia="lt-LT" w:bidi="ar-SA"/>
              </w:rPr>
            </w:r>
          </w:p>
        </w:tc>
      </w:tr>
      <w:tr>
        <w:trPr>
          <w:trHeight w:val="130"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12.3.</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val="000000"/>
                <w:lang w:val="lt-LT" w:eastAsia="lt-LT"/>
              </w:rPr>
            </w:pPr>
            <w:r>
              <w:rPr>
                <w:rFonts w:eastAsia="Times New Roman" w:cs="Arial" w:ascii="Arial" w:hAnsi="Arial"/>
                <w:color w:val="000000"/>
                <w:kern w:val="0"/>
                <w:sz w:val="22"/>
                <w:szCs w:val="22"/>
                <w:lang w:val="lt-LT" w:eastAsia="lt-LT" w:bidi="ar-SA"/>
              </w:rPr>
              <w:t>galima suvesti ne mažiau 8 kertamų medžių rūšių;</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val="000000"/>
                <w:lang w:val="pt-BR" w:eastAsia="lt-LT"/>
              </w:rPr>
            </w:pPr>
            <w:r>
              <w:rPr>
                <w:rFonts w:eastAsia="Times New Roman" w:cs="Arial" w:ascii="Arial" w:hAnsi="Arial"/>
                <w:color w:val="000000"/>
                <w:kern w:val="0"/>
                <w:sz w:val="22"/>
                <w:szCs w:val="22"/>
                <w:lang w:val="pt-BR" w:eastAsia="lt-LT" w:bidi="ar-SA"/>
              </w:rPr>
            </w:r>
          </w:p>
        </w:tc>
      </w:tr>
      <w:tr>
        <w:trPr>
          <w:trHeight w:val="203"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12.4.</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val="000000"/>
                <w:lang w:val="lt-LT" w:eastAsia="lt-LT"/>
              </w:rPr>
            </w:pPr>
            <w:r>
              <w:rPr>
                <w:rFonts w:eastAsia="Times New Roman" w:cs="Arial" w:ascii="Arial" w:hAnsi="Arial"/>
                <w:color w:val="000000"/>
                <w:kern w:val="0"/>
                <w:sz w:val="22"/>
                <w:szCs w:val="22"/>
                <w:lang w:val="lt-LT" w:eastAsia="lt-LT" w:bidi="ar-SA"/>
              </w:rPr>
              <w:t>galima suvesti ne mažiau 10 gaminamų sortimentų rūšių;</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val="000000"/>
                <w:lang w:val="pt-BR" w:eastAsia="lt-LT"/>
              </w:rPr>
            </w:pPr>
            <w:r>
              <w:rPr>
                <w:rFonts w:eastAsia="Times New Roman" w:cs="Arial" w:ascii="Arial" w:hAnsi="Arial"/>
                <w:color w:val="000000"/>
                <w:kern w:val="0"/>
                <w:sz w:val="22"/>
                <w:szCs w:val="22"/>
                <w:lang w:val="pt-BR" w:eastAsia="lt-LT"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12.5.</w:t>
            </w:r>
          </w:p>
        </w:tc>
        <w:tc>
          <w:tcPr>
            <w:tcW w:w="6519"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val="000000"/>
                <w:kern w:val="0"/>
                <w:sz w:val="22"/>
                <w:szCs w:val="22"/>
                <w:lang w:val="lt-LT" w:eastAsia="lt-LT" w:bidi="ar-SA"/>
              </w:rPr>
              <w:t>galima apskaičiuoti pagamintos medienos tūrį su žieve ir be žievės, pagal Lietuvoje patvirtintus matavimo ir tūrio nustatymo normatyvus;</w:t>
            </w:r>
          </w:p>
        </w:tc>
        <w:tc>
          <w:tcPr>
            <w:tcW w:w="2695" w:type="dxa"/>
            <w:tcBorders/>
          </w:tcPr>
          <w:p>
            <w:pPr>
              <w:pStyle w:val="Normal"/>
              <w:widowControl/>
              <w:spacing w:before="0" w:afterAutospacing="0" w:after="0"/>
              <w:ind w:hanging="0"/>
              <w:jc w:val="both"/>
              <w:textAlignment w:val="auto"/>
              <w:rPr>
                <w:rFonts w:ascii="Arial" w:hAnsi="Arial" w:cs="Arial"/>
                <w:color w:val="000000"/>
                <w:lang w:val="pt-BR" w:eastAsia="lt-LT"/>
              </w:rPr>
            </w:pPr>
            <w:r>
              <w:rPr>
                <w:rFonts w:eastAsia="Calibri" w:cs="Arial" w:ascii="Arial" w:hAnsi="Arial"/>
                <w:color w:val="000000"/>
                <w:kern w:val="0"/>
                <w:sz w:val="22"/>
                <w:szCs w:val="22"/>
                <w:lang w:val="pt-BR" w:eastAsia="lt-LT"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12.6.</w:t>
            </w:r>
          </w:p>
        </w:tc>
        <w:tc>
          <w:tcPr>
            <w:tcW w:w="6519"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t>fiksuoja pagamintos medienos sortimentų ilgius ir tūrius.</w:t>
            </w:r>
          </w:p>
        </w:tc>
        <w:tc>
          <w:tcPr>
            <w:tcW w:w="2695" w:type="dxa"/>
            <w:tcBorders/>
          </w:tcPr>
          <w:p>
            <w:pPr>
              <w:pStyle w:val="Normal"/>
              <w:widowControl/>
              <w:spacing w:before="0" w:afterAutospacing="0" w:after="0"/>
              <w:ind w:hanging="0"/>
              <w:jc w:val="both"/>
              <w:textAlignment w:val="auto"/>
              <w:rPr>
                <w:rFonts w:ascii="Arial" w:hAnsi="Arial" w:cs="Arial"/>
                <w:lang w:val="pt-BR" w:eastAsia="lt-LT"/>
              </w:rPr>
            </w:pPr>
            <w:r>
              <w:rPr>
                <w:rFonts w:eastAsia="Calibri" w:cs="Arial" w:ascii="Arial" w:hAnsi="Arial"/>
                <w:kern w:val="0"/>
                <w:sz w:val="22"/>
                <w:szCs w:val="22"/>
                <w:lang w:val="pt-BR" w:eastAsia="lt-LT"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12.7.</w:t>
            </w:r>
          </w:p>
        </w:tc>
        <w:tc>
          <w:tcPr>
            <w:tcW w:w="6519"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val="000000"/>
                <w:kern w:val="0"/>
                <w:sz w:val="22"/>
                <w:szCs w:val="22"/>
                <w:lang w:val="lt-LT" w:eastAsia="lt-LT" w:bidi="ar-SA"/>
              </w:rPr>
              <w:t xml:space="preserve">galima informaciją apie pagamintos medienos kiekius bei sortimentus perkelti į nešiojamą laikmeną </w:t>
            </w:r>
            <w:r>
              <w:rPr>
                <w:rFonts w:eastAsia="Calibri" w:cs="Arial" w:ascii="Arial" w:hAnsi="Arial"/>
                <w:kern w:val="0"/>
                <w:sz w:val="22"/>
                <w:szCs w:val="22"/>
                <w:lang w:val="lt-LT" w:eastAsia="lt-LT" w:bidi="ar-SA"/>
              </w:rPr>
              <w:t>ar</w:t>
            </w:r>
            <w:r>
              <w:rPr>
                <w:rFonts w:eastAsia="Calibri" w:cs="Arial" w:ascii="Arial" w:hAnsi="Arial"/>
                <w:color w:val="000000"/>
                <w:kern w:val="0"/>
                <w:sz w:val="22"/>
                <w:szCs w:val="22"/>
                <w:lang w:val="lt-LT" w:eastAsia="lt-LT" w:bidi="ar-SA"/>
              </w:rPr>
              <w:t xml:space="preserve">  siųsti interneto ryšiu norimu adresu;</w:t>
            </w:r>
          </w:p>
        </w:tc>
        <w:tc>
          <w:tcPr>
            <w:tcW w:w="2695" w:type="dxa"/>
            <w:tcBorders/>
          </w:tcPr>
          <w:p>
            <w:pPr>
              <w:pStyle w:val="Normal"/>
              <w:widowControl/>
              <w:spacing w:before="0" w:afterAutospacing="0" w:after="0"/>
              <w:ind w:hanging="0"/>
              <w:jc w:val="both"/>
              <w:textAlignment w:val="auto"/>
              <w:rPr>
                <w:rFonts w:ascii="Arial" w:hAnsi="Arial" w:cs="Arial"/>
                <w:color w:val="000000"/>
                <w:lang w:val="pt-BR" w:eastAsia="lt-LT"/>
              </w:rPr>
            </w:pPr>
            <w:r>
              <w:rPr>
                <w:rFonts w:eastAsia="Calibri" w:cs="Arial" w:ascii="Arial" w:hAnsi="Arial"/>
                <w:color w:val="000000"/>
                <w:kern w:val="0"/>
                <w:sz w:val="22"/>
                <w:szCs w:val="22"/>
                <w:lang w:val="pt-BR" w:eastAsia="lt-LT" w:bidi="ar-SA"/>
              </w:rPr>
            </w:r>
          </w:p>
        </w:tc>
      </w:tr>
      <w:tr>
        <w:trPr>
          <w:trHeight w:val="211"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12.8.</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val="000000"/>
                <w:lang w:val="lt-LT" w:eastAsia="lt-LT"/>
              </w:rPr>
            </w:pPr>
            <w:r>
              <w:rPr>
                <w:rFonts w:eastAsia="Times New Roman" w:cs="Arial" w:ascii="Arial" w:hAnsi="Arial"/>
                <w:color w:val="000000"/>
                <w:kern w:val="0"/>
                <w:sz w:val="22"/>
                <w:szCs w:val="22"/>
                <w:lang w:val="lt-LT" w:eastAsia="lt-LT" w:bidi="ar-SA"/>
              </w:rPr>
              <w:t>programa parenkanti optimalų medžio stiebo supjaustymą į sortimentus;</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val="000000"/>
                <w:lang w:val="pt-BR" w:eastAsia="lt-LT"/>
              </w:rPr>
            </w:pPr>
            <w:r>
              <w:rPr>
                <w:rFonts w:eastAsia="Times New Roman" w:cs="Arial" w:ascii="Arial" w:hAnsi="Arial"/>
                <w:color w:val="000000"/>
                <w:kern w:val="0"/>
                <w:sz w:val="22"/>
                <w:szCs w:val="22"/>
                <w:lang w:val="pt-BR" w:eastAsia="lt-LT" w:bidi="ar-SA"/>
              </w:rPr>
            </w:r>
          </w:p>
        </w:tc>
      </w:tr>
      <w:tr>
        <w:trPr>
          <w:trHeight w:val="130"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12.9.</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val="000000"/>
                <w:lang w:val="lt-LT" w:eastAsia="lt-LT"/>
              </w:rPr>
            </w:pPr>
            <w:r>
              <w:rPr>
                <w:rFonts w:eastAsia="Times New Roman" w:cs="Arial" w:ascii="Arial" w:hAnsi="Arial"/>
                <w:color w:val="000000"/>
                <w:kern w:val="0"/>
                <w:sz w:val="22"/>
                <w:szCs w:val="22"/>
                <w:lang w:val="lt-LT" w:eastAsia="lt-LT" w:bidi="ar-SA"/>
              </w:rPr>
              <w:t>programa pritaikyta ne mažiau kaip 4 operatoriams.</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val="000000"/>
                <w:lang w:eastAsia="lt-LT"/>
              </w:rPr>
            </w:pPr>
            <w:r>
              <w:rPr>
                <w:rFonts w:eastAsia="Times New Roman" w:cs="Arial" w:ascii="Arial" w:hAnsi="Arial"/>
                <w:color w:val="000000"/>
                <w:kern w:val="0"/>
                <w:sz w:val="22"/>
                <w:szCs w:val="22"/>
                <w:lang w:val="en-GB" w:eastAsia="lt-LT" w:bidi="ar-SA"/>
              </w:rPr>
            </w:r>
          </w:p>
        </w:tc>
      </w:tr>
      <w:tr>
        <w:trPr>
          <w:trHeight w:val="190"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b/>
                <w:bCs/>
                <w:color w:val="000000"/>
                <w:kern w:val="0"/>
                <w:sz w:val="22"/>
                <w:szCs w:val="22"/>
                <w:lang w:val="lt-LT" w:eastAsia="en-US" w:bidi="ar-SA"/>
              </w:rPr>
              <w:t>13.</w:t>
            </w:r>
          </w:p>
        </w:tc>
        <w:tc>
          <w:tcPr>
            <w:tcW w:w="6519" w:type="dxa"/>
            <w:tcBorders/>
          </w:tcPr>
          <w:p>
            <w:pPr>
              <w:pStyle w:val="Normal"/>
              <w:widowControl/>
              <w:spacing w:before="0" w:afterAutospacing="0" w:after="0"/>
              <w:ind w:hanging="0"/>
              <w:jc w:val="both"/>
              <w:textAlignment w:val="auto"/>
              <w:rPr>
                <w:rFonts w:ascii="Arial" w:hAnsi="Arial" w:cs="Arial"/>
                <w:b/>
                <w:lang w:val="lt-LT"/>
              </w:rPr>
            </w:pPr>
            <w:r>
              <w:rPr>
                <w:rFonts w:eastAsia="Calibri" w:cs="Arial" w:ascii="Arial" w:hAnsi="Arial"/>
                <w:b/>
                <w:color w:val="000000"/>
                <w:kern w:val="0"/>
                <w:sz w:val="22"/>
                <w:szCs w:val="22"/>
                <w:lang w:val="lt-LT" w:eastAsia="en-US" w:bidi="ar-SA"/>
              </w:rPr>
              <w:t>Kiti techniniai reikalavimai:</w:t>
            </w:r>
          </w:p>
        </w:tc>
        <w:tc>
          <w:tcPr>
            <w:tcW w:w="2695" w:type="dxa"/>
            <w:tcBorders/>
          </w:tcPr>
          <w:p>
            <w:pPr>
              <w:pStyle w:val="Normal"/>
              <w:widowControl/>
              <w:spacing w:before="0" w:afterAutospacing="0" w:after="0"/>
              <w:ind w:hanging="0"/>
              <w:jc w:val="both"/>
              <w:textAlignment w:val="auto"/>
              <w:rPr>
                <w:rFonts w:ascii="Arial" w:hAnsi="Arial" w:cs="Arial"/>
                <w:b/>
                <w:color w:val="000000"/>
              </w:rPr>
            </w:pPr>
            <w:r>
              <w:rPr>
                <w:rFonts w:eastAsia="Calibri" w:cs="Arial" w:ascii="Arial" w:hAnsi="Arial"/>
                <w:b/>
                <w:color w:val="000000"/>
                <w:kern w:val="0"/>
                <w:sz w:val="22"/>
                <w:szCs w:val="22"/>
                <w:lang w:val="en-GB" w:eastAsia="en-US" w:bidi="ar-SA"/>
              </w:rPr>
            </w:r>
          </w:p>
        </w:tc>
      </w:tr>
      <w:tr>
        <w:trPr>
          <w:trHeight w:val="230"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color w:val="000000"/>
                <w:kern w:val="0"/>
                <w:sz w:val="22"/>
                <w:szCs w:val="22"/>
                <w:lang w:val="lt-LT" w:eastAsia="en-US" w:bidi="ar-SA"/>
              </w:rPr>
              <w:t>13.1.</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ne mažiau 2 rankiniai miltelinio tipo 6 kg gesintuvai su patikra;</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168"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13.2.</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automatinė gaisro gesinimo sistema;</w:t>
            </w:r>
          </w:p>
        </w:tc>
        <w:tc>
          <w:tcPr>
            <w:tcW w:w="2695" w:type="dxa"/>
            <w:tcBorders/>
          </w:tcPr>
          <w:p>
            <w:pPr>
              <w:pStyle w:val="Normal"/>
              <w:widowControl/>
              <w:spacing w:before="0" w:afterAutospacing="0" w:after="0"/>
              <w:ind w:firstLine="1"/>
              <w:jc w:val="both"/>
              <w:textAlignment w:val="auto"/>
              <w:rPr>
                <w:rFonts w:ascii="Arial" w:hAnsi="Arial" w:eastAsia="Times New Roman" w:cs="Arial"/>
                <w:lang w:eastAsia="lt-LT"/>
              </w:rPr>
            </w:pPr>
            <w:r>
              <w:rPr>
                <w:rFonts w:eastAsia="Times New Roman" w:cs="Arial" w:ascii="Arial" w:hAnsi="Arial"/>
                <w:kern w:val="0"/>
                <w:sz w:val="22"/>
                <w:szCs w:val="22"/>
                <w:lang w:val="en-GB" w:eastAsia="lt-LT" w:bidi="ar-SA"/>
              </w:rPr>
            </w:r>
          </w:p>
        </w:tc>
      </w:tr>
      <w:tr>
        <w:trPr>
          <w:trHeight w:val="212"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13.3.</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lt-LT" w:bidi="ar-SA"/>
              </w:rPr>
              <w:t>įrankiai kasdieniniai medkirtės priežiūrai</w:t>
            </w:r>
            <w:r>
              <w:rPr>
                <w:rFonts w:eastAsia="Times New Roman" w:cs="Arial" w:ascii="Arial" w:hAnsi="Arial"/>
                <w:kern w:val="0"/>
                <w:sz w:val="22"/>
                <w:szCs w:val="22"/>
                <w:lang w:val="lt-LT" w:eastAsia="en-US" w:bidi="ar-SA"/>
              </w:rPr>
              <w:t>,</w:t>
            </w:r>
            <w:r>
              <w:rPr>
                <w:rFonts w:eastAsia="Times New Roman" w:cs="Arial" w:ascii="Arial" w:hAnsi="Arial"/>
                <w:kern w:val="0"/>
                <w:sz w:val="22"/>
                <w:szCs w:val="22"/>
                <w:lang w:val="lt-LT" w:eastAsia="lt-LT" w:bidi="ar-SA"/>
              </w:rPr>
              <w:t xml:space="preserve"> remontui</w:t>
            </w:r>
            <w:r>
              <w:rPr>
                <w:rFonts w:eastAsia="Times New Roman" w:cs="Arial" w:ascii="Arial" w:hAnsi="Arial"/>
                <w:kern w:val="0"/>
                <w:sz w:val="22"/>
                <w:szCs w:val="22"/>
                <w:lang w:val="lt-LT" w:eastAsia="en-US" w:bidi="ar-SA"/>
              </w:rPr>
              <w:t xml:space="preserve"> ir techniniam aptarnavimui;</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13.4.</w:t>
            </w:r>
          </w:p>
        </w:tc>
        <w:tc>
          <w:tcPr>
            <w:tcW w:w="6519" w:type="dxa"/>
            <w:tcBorders/>
          </w:tcPr>
          <w:p>
            <w:pPr>
              <w:pStyle w:val="Normal"/>
              <w:widowControl/>
              <w:spacing w:before="0" w:afterAutospacing="0" w:after="0"/>
              <w:ind w:hanging="0"/>
              <w:jc w:val="both"/>
              <w:textAlignment w:val="auto"/>
              <w:rPr>
                <w:rFonts w:ascii="Arial" w:hAnsi="Arial" w:cs="Arial"/>
                <w:color w:themeColor="text1" w:val="000000"/>
                <w:lang w:val="lt-LT"/>
              </w:rPr>
            </w:pPr>
            <w:r>
              <w:rPr>
                <w:rFonts w:eastAsia="Calibri" w:cs="Arial" w:ascii="Arial" w:hAnsi="Arial"/>
                <w:color w:themeColor="text1" w:val="000000"/>
                <w:kern w:val="0"/>
                <w:sz w:val="22"/>
                <w:szCs w:val="22"/>
                <w:lang w:val="lt-LT" w:eastAsia="en-US" w:bidi="ar-SA"/>
              </w:rPr>
              <w:t>pagal siūlomų padangų išmatavimus tinkančių universalaus naudojimo vikšrų, sujungtų su ne mažesniais kaip 20 mm nareliais, kurių vieno horizontalaus segmento plotis yra nuo 120 iki 150 mm, komplektas 1 poros – 2 vnt.), skirtas vienai medkirtei,  ir 2 sujungimo raktai su įtempėju;</w:t>
            </w:r>
          </w:p>
        </w:tc>
        <w:tc>
          <w:tcPr>
            <w:tcW w:w="2695" w:type="dxa"/>
            <w:tcBorders/>
          </w:tcPr>
          <w:p>
            <w:pPr>
              <w:pStyle w:val="Normal"/>
              <w:widowControl/>
              <w:spacing w:before="0" w:afterAutospacing="0" w:after="0"/>
              <w:ind w:hanging="0"/>
              <w:jc w:val="both"/>
              <w:textAlignment w:val="auto"/>
              <w:rPr>
                <w:rFonts w:ascii="Arial" w:hAnsi="Arial" w:cs="Arial"/>
                <w:color w:themeColor="text1" w:val="000000"/>
                <w:lang w:val="lt-LT"/>
              </w:rPr>
            </w:pPr>
            <w:r>
              <w:rPr>
                <w:rFonts w:eastAsia="Calibri" w:cs="Arial" w:ascii="Arial" w:hAnsi="Arial"/>
                <w:color w:themeColor="text1" w:val="000000"/>
                <w:kern w:val="0"/>
                <w:sz w:val="22"/>
                <w:szCs w:val="22"/>
                <w:lang w:val="lt-LT" w:eastAsia="en-US" w:bidi="ar-SA"/>
              </w:rPr>
            </w:r>
          </w:p>
        </w:tc>
      </w:tr>
      <w:tr>
        <w:trPr>
          <w:trHeight w:val="123"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13.5.</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elektrinis dyzelino užpylimo siurblys sumontuotas medkirtėje su „STOP“ funkcija;</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198"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13.6.</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vandens separatorius degalų tiekimo sistemoje;</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188"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13.7.</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sumontuota garsinė ir šviesinė apsaugos sistema, atitinkanti Kasko reikalavimus;</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pt-BR" w:eastAsia="lt-LT"/>
              </w:rPr>
            </w:pPr>
            <w:r>
              <w:rPr>
                <w:rFonts w:eastAsia="Times New Roman" w:cs="Arial" w:ascii="Arial" w:hAnsi="Arial"/>
                <w:kern w:val="0"/>
                <w:sz w:val="22"/>
                <w:szCs w:val="22"/>
                <w:lang w:val="pt-BR" w:eastAsia="lt-LT" w:bidi="ar-SA"/>
              </w:rPr>
            </w:r>
          </w:p>
        </w:tc>
      </w:tr>
      <w:tr>
        <w:trPr>
          <w:trHeight w:val="188"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themeColor="text1" w:val="000000"/>
                <w:kern w:val="0"/>
                <w:sz w:val="22"/>
                <w:szCs w:val="22"/>
                <w:lang w:val="lt-LT" w:eastAsia="en-US" w:bidi="ar-SA"/>
              </w:rPr>
              <w:t>13.8.</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en-US" w:bidi="ar-SA"/>
              </w:rPr>
              <w:t>gamykliškai arba papildomai, neprarandant garantijos, sumontuotas oro kompresorius su ne mažesniu kaip 4 l ne mažesnio kaip 75 l/min našumo ir  ne mažesnio kaip 5,0 bar. darbinio slėgio. Kompresorius turi būti sumontuotas medkirtėje;</w:t>
            </w:r>
          </w:p>
        </w:tc>
        <w:tc>
          <w:tcPr>
            <w:tcW w:w="2695" w:type="dxa"/>
            <w:tcBorders/>
          </w:tcPr>
          <w:p>
            <w:pPr>
              <w:pStyle w:val="Normal"/>
              <w:widowControl/>
              <w:spacing w:before="0" w:afterAutospacing="0" w:after="0"/>
              <w:ind w:firstLine="1"/>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rHeight w:val="188" w:hRule="atLeast"/>
        </w:trPr>
        <w:tc>
          <w:tcPr>
            <w:tcW w:w="846" w:type="dxa"/>
            <w:tcBorders/>
          </w:tcPr>
          <w:p>
            <w:pPr>
              <w:pStyle w:val="Normal"/>
              <w:widowControl/>
              <w:spacing w:before="0" w:afterAutospacing="0" w:after="0"/>
              <w:ind w:firstLine="1"/>
              <w:jc w:val="both"/>
              <w:textAlignment w:val="auto"/>
              <w:rPr>
                <w:rFonts w:ascii="Arial" w:hAnsi="Arial" w:eastAsia="Calibri" w:cs="Arial"/>
                <w:color w:themeColor="text1" w:val="000000"/>
                <w:lang w:val="lt-LT"/>
              </w:rPr>
            </w:pPr>
            <w:r>
              <w:rPr>
                <w:rFonts w:eastAsia="Calibri" w:cs="Arial" w:ascii="Arial" w:hAnsi="Arial"/>
                <w:color w:themeColor="text1" w:val="000000"/>
                <w:kern w:val="0"/>
                <w:sz w:val="22"/>
                <w:szCs w:val="22"/>
                <w:lang w:val="lt-LT" w:eastAsia="en-US" w:bidi="ar-SA"/>
              </w:rPr>
              <w:t>13.9.</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variklio dangčio apsauga;</w:t>
            </w:r>
          </w:p>
        </w:tc>
        <w:tc>
          <w:tcPr>
            <w:tcW w:w="2695" w:type="dxa"/>
            <w:tcBorders/>
          </w:tcPr>
          <w:p>
            <w:pPr>
              <w:pStyle w:val="Normal"/>
              <w:widowControl/>
              <w:spacing w:before="0" w:afterAutospacing="0" w:after="0"/>
              <w:ind w:firstLine="1"/>
              <w:jc w:val="both"/>
              <w:textAlignment w:val="auto"/>
              <w:rPr>
                <w:rFonts w:ascii="Arial" w:hAnsi="Arial" w:eastAsia="Times New Roman" w:cs="Arial"/>
                <w:lang w:eastAsia="lt-LT"/>
              </w:rPr>
            </w:pPr>
            <w:r>
              <w:rPr>
                <w:rFonts w:eastAsia="Times New Roman" w:cs="Arial" w:ascii="Arial" w:hAnsi="Arial"/>
                <w:kern w:val="0"/>
                <w:sz w:val="22"/>
                <w:szCs w:val="22"/>
                <w:lang w:val="en-GB" w:eastAsia="lt-LT" w:bidi="ar-SA"/>
              </w:rPr>
            </w:r>
          </w:p>
        </w:tc>
      </w:tr>
      <w:tr>
        <w:trPr>
          <w:trHeight w:val="188" w:hRule="atLeast"/>
        </w:trPr>
        <w:tc>
          <w:tcPr>
            <w:tcW w:w="846" w:type="dxa"/>
            <w:tcBorders/>
          </w:tcPr>
          <w:p>
            <w:pPr>
              <w:pStyle w:val="Normal"/>
              <w:widowControl/>
              <w:spacing w:before="0" w:afterAutospacing="0" w:after="0"/>
              <w:ind w:firstLine="1"/>
              <w:jc w:val="both"/>
              <w:textAlignment w:val="auto"/>
              <w:rPr>
                <w:rFonts w:ascii="Arial" w:hAnsi="Arial" w:eastAsia="Calibri" w:cs="Arial"/>
                <w:color w:themeColor="text1" w:val="000000"/>
                <w:lang w:val="lt-LT"/>
              </w:rPr>
            </w:pPr>
            <w:r>
              <w:rPr>
                <w:rFonts w:eastAsia="Calibri" w:cs="Arial" w:ascii="Arial" w:hAnsi="Arial"/>
                <w:color w:themeColor="text1" w:val="000000"/>
                <w:kern w:val="0"/>
                <w:sz w:val="22"/>
                <w:szCs w:val="22"/>
                <w:lang w:val="lt-LT" w:eastAsia="en-US" w:bidi="ar-SA"/>
              </w:rPr>
              <w:t>13.10.</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medkirtėje sumontuota nemažesnė nei 90 litrų talpa preparatui nuo šakninės pinties;</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188" w:hRule="atLeast"/>
        </w:trPr>
        <w:tc>
          <w:tcPr>
            <w:tcW w:w="846" w:type="dxa"/>
            <w:tcBorders/>
          </w:tcPr>
          <w:p>
            <w:pPr>
              <w:pStyle w:val="Normal"/>
              <w:widowControl/>
              <w:spacing w:before="0" w:afterAutospacing="0" w:after="0"/>
              <w:ind w:firstLine="1"/>
              <w:jc w:val="both"/>
              <w:textAlignment w:val="auto"/>
              <w:rPr>
                <w:rFonts w:ascii="Arial" w:hAnsi="Arial" w:eastAsia="Calibri" w:cs="Arial"/>
                <w:color w:themeColor="text1" w:val="000000"/>
                <w:lang w:val="lt-LT"/>
              </w:rPr>
            </w:pPr>
            <w:r>
              <w:rPr>
                <w:rFonts w:eastAsia="Calibri" w:cs="Arial" w:ascii="Arial" w:hAnsi="Arial"/>
                <w:color w:themeColor="text1" w:val="000000"/>
                <w:kern w:val="0"/>
                <w:sz w:val="22"/>
                <w:szCs w:val="22"/>
                <w:lang w:val="lt-LT" w:eastAsia="en-US" w:bidi="ar-SA"/>
              </w:rPr>
              <w:t>13.11.</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t>žarna, jungianti 13.10 papunktyje nurodytą talpą su kirtimo galvute;</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eastAsia="lt-LT"/>
              </w:rPr>
            </w:pPr>
            <w:r>
              <w:rPr>
                <w:rFonts w:eastAsia="Times New Roman" w:cs="Arial" w:ascii="Arial" w:hAnsi="Arial"/>
                <w:kern w:val="0"/>
                <w:sz w:val="22"/>
                <w:szCs w:val="22"/>
                <w:lang w:val="lt-LT" w:eastAsia="lt-LT"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13.12.</w:t>
            </w:r>
          </w:p>
        </w:tc>
        <w:tc>
          <w:tcPr>
            <w:tcW w:w="6519"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medkirtė privalo būti sukomplektuota taip, kad ją be papildomų priemonių būtų galima eksploatuoti Lietuvos Respublikoje. Kartu su medkirte turi būti pateikiamas teisės aktų reikalavimus atitinkantis pirmosios pagalbos rinkinys (vaistinėlė), avarinio sustojimo ženklas ir liemenė su šviesą atspindinčiais elementais.</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rHeight w:val="199"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b/>
                <w:bCs/>
                <w:color w:val="000000"/>
                <w:kern w:val="0"/>
                <w:sz w:val="22"/>
                <w:szCs w:val="22"/>
                <w:lang w:val="lt-LT" w:eastAsia="en-US" w:bidi="ar-SA"/>
              </w:rPr>
              <w:t>14.</w:t>
            </w:r>
          </w:p>
        </w:tc>
        <w:tc>
          <w:tcPr>
            <w:tcW w:w="6519" w:type="dxa"/>
            <w:tcBorders/>
          </w:tcPr>
          <w:p>
            <w:pPr>
              <w:pStyle w:val="Normal"/>
              <w:widowControl/>
              <w:spacing w:before="0" w:afterAutospacing="0" w:after="0"/>
              <w:ind w:hanging="0"/>
              <w:jc w:val="both"/>
              <w:textAlignment w:val="auto"/>
              <w:rPr>
                <w:rFonts w:ascii="Arial" w:hAnsi="Arial" w:cs="Arial"/>
                <w:b/>
                <w:lang w:val="lt-LT"/>
              </w:rPr>
            </w:pPr>
            <w:r>
              <w:rPr>
                <w:rFonts w:eastAsia="Calibri" w:cs="Arial" w:ascii="Arial" w:hAnsi="Arial"/>
                <w:b/>
                <w:color w:val="000000"/>
                <w:kern w:val="0"/>
                <w:sz w:val="22"/>
                <w:szCs w:val="22"/>
                <w:lang w:val="lt-LT" w:eastAsia="en-US" w:bidi="ar-SA"/>
              </w:rPr>
              <w:t>Garantijų reikalavimai (išskyrus tas detales, kurios susidėvi natūraliai):</w:t>
            </w:r>
          </w:p>
        </w:tc>
        <w:tc>
          <w:tcPr>
            <w:tcW w:w="2695" w:type="dxa"/>
            <w:tcBorders/>
          </w:tcPr>
          <w:p>
            <w:pPr>
              <w:pStyle w:val="Normal"/>
              <w:widowControl/>
              <w:spacing w:before="0" w:afterAutospacing="0" w:after="0"/>
              <w:ind w:hanging="0"/>
              <w:jc w:val="both"/>
              <w:textAlignment w:val="auto"/>
              <w:rPr>
                <w:rFonts w:ascii="Arial" w:hAnsi="Arial" w:cs="Arial"/>
                <w:b/>
                <w:color w:val="000000"/>
                <w:lang w:val="pt-BR"/>
              </w:rPr>
            </w:pPr>
            <w:r>
              <w:rPr>
                <w:rFonts w:eastAsia="Calibri" w:cs="Arial" w:ascii="Arial" w:hAnsi="Arial"/>
                <w:b/>
                <w:color w:val="000000"/>
                <w:kern w:val="0"/>
                <w:sz w:val="22"/>
                <w:szCs w:val="22"/>
                <w:lang w:val="pt-BR" w:eastAsia="en-US" w:bidi="ar-SA"/>
              </w:rPr>
            </w:r>
          </w:p>
        </w:tc>
      </w:tr>
      <w:tr>
        <w:trPr>
          <w:trHeight w:val="254" w:hRule="atLeast"/>
        </w:trPr>
        <w:tc>
          <w:tcPr>
            <w:tcW w:w="846" w:type="dxa"/>
            <w:tcBorders/>
          </w:tcPr>
          <w:p>
            <w:pPr>
              <w:pStyle w:val="Normal"/>
              <w:widowControl/>
              <w:spacing w:before="0" w:afterAutospacing="0" w:after="0"/>
              <w:ind w:firstLine="1"/>
              <w:jc w:val="both"/>
              <w:textAlignment w:val="auto"/>
              <w:rPr>
                <w:rFonts w:ascii="Arial" w:hAnsi="Arial" w:eastAsia="Times New Roman" w:cs="Arial"/>
                <w:color w:val="000000"/>
                <w:lang w:val="lt-LT"/>
              </w:rPr>
            </w:pPr>
            <w:r>
              <w:rPr>
                <w:rFonts w:eastAsia="Times New Roman" w:cs="Arial" w:ascii="Arial" w:hAnsi="Arial"/>
                <w:color w:val="000000"/>
                <w:kern w:val="0"/>
                <w:sz w:val="22"/>
                <w:szCs w:val="22"/>
                <w:lang w:val="lt-LT" w:eastAsia="en-US" w:bidi="ar-SA"/>
              </w:rPr>
              <w:t>14.1.</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val="000000"/>
                <w:lang w:val="lt-LT"/>
              </w:rPr>
            </w:pPr>
            <w:r>
              <w:rPr>
                <w:rFonts w:eastAsia="Times New Roman" w:cs="Arial" w:ascii="Arial" w:hAnsi="Arial"/>
                <w:color w:val="000000"/>
                <w:kern w:val="0"/>
                <w:sz w:val="22"/>
                <w:szCs w:val="22"/>
                <w:lang w:val="lt-LT" w:eastAsia="en-US" w:bidi="ar-SA"/>
              </w:rPr>
              <w:t>ne trumpesnė nei 12 mėnesių arba 3000 moto valandų (priklausomai kas pirma baigsis) visiška garantija nuo medkirtės priėmimo – perdavimo akto pasirašymo dienos;</w:t>
            </w:r>
          </w:p>
        </w:tc>
        <w:tc>
          <w:tcPr>
            <w:tcW w:w="2695" w:type="dxa"/>
            <w:tcBorders/>
          </w:tcPr>
          <w:p>
            <w:pPr>
              <w:pStyle w:val="Normal"/>
              <w:widowControl/>
              <w:spacing w:before="0" w:afterAutospacing="0" w:after="0"/>
              <w:ind w:firstLine="1"/>
              <w:jc w:val="both"/>
              <w:textAlignment w:val="auto"/>
              <w:rPr>
                <w:rFonts w:ascii="Arial" w:hAnsi="Arial" w:eastAsia="Times New Roman" w:cs="Arial"/>
                <w:color w:val="000000"/>
                <w:lang w:val="lt-LT"/>
              </w:rPr>
            </w:pPr>
            <w:r>
              <w:rPr>
                <w:rFonts w:eastAsia="Times New Roman" w:cs="Arial" w:ascii="Arial" w:hAnsi="Arial"/>
                <w:color w:val="000000"/>
                <w:kern w:val="0"/>
                <w:sz w:val="22"/>
                <w:szCs w:val="22"/>
                <w:lang w:val="lt-LT" w:eastAsia="en-US" w:bidi="ar-SA"/>
              </w:rPr>
            </w:r>
          </w:p>
        </w:tc>
      </w:tr>
      <w:tr>
        <w:trPr>
          <w:trHeight w:val="254" w:hRule="atLeast"/>
        </w:trPr>
        <w:tc>
          <w:tcPr>
            <w:tcW w:w="846" w:type="dxa"/>
            <w:tcBorders/>
          </w:tcPr>
          <w:p>
            <w:pPr>
              <w:pStyle w:val="Normal"/>
              <w:widowControl/>
              <w:spacing w:before="0" w:afterAutospacing="0" w:after="0"/>
              <w:ind w:firstLine="1"/>
              <w:jc w:val="both"/>
              <w:textAlignment w:val="auto"/>
              <w:rPr>
                <w:rFonts w:ascii="Arial" w:hAnsi="Arial" w:eastAsia="Times New Roman" w:cs="Arial"/>
                <w:color w:val="000000"/>
                <w:lang w:val="lt-LT"/>
              </w:rPr>
            </w:pPr>
            <w:r>
              <w:rPr>
                <w:rFonts w:eastAsia="Times New Roman" w:cs="Arial" w:ascii="Arial" w:hAnsi="Arial"/>
                <w:color w:val="000000"/>
                <w:kern w:val="0"/>
                <w:sz w:val="22"/>
                <w:szCs w:val="22"/>
                <w:lang w:val="lt-LT" w:eastAsia="en-US" w:bidi="ar-SA"/>
              </w:rPr>
              <w:t>14.2.</w:t>
            </w:r>
          </w:p>
        </w:tc>
        <w:tc>
          <w:tcPr>
            <w:tcW w:w="6519" w:type="dxa"/>
            <w:tcBorders/>
          </w:tcPr>
          <w:p>
            <w:pPr>
              <w:pStyle w:val="Normal"/>
              <w:widowControl/>
              <w:spacing w:before="0" w:afterAutospacing="0" w:after="0"/>
              <w:ind w:firstLine="1"/>
              <w:jc w:val="both"/>
              <w:textAlignment w:val="auto"/>
              <w:rPr>
                <w:rFonts w:ascii="Arial" w:hAnsi="Arial" w:eastAsia="Times New Roman" w:cs="Arial"/>
                <w:color w:themeColor="text1" w:val="000000"/>
                <w:lang w:val="lt-LT"/>
              </w:rPr>
            </w:pPr>
            <w:r>
              <w:rPr>
                <w:rFonts w:eastAsia="Times New Roman" w:cs="Arial" w:ascii="Arial" w:hAnsi="Arial"/>
                <w:kern w:val="0"/>
                <w:sz w:val="22"/>
                <w:szCs w:val="22"/>
                <w:lang w:val="lt-LT" w:eastAsia="en-US" w:bidi="ar-SA"/>
              </w:rPr>
              <w:t>Ne trumpesnė nei 12 (dvylikos) mėnesių arba nuo 3001 iki 5000 darbo valandų (imtinai) (priklausomai kas pirma baigsis) papildoma garantija medkirtės rėmui (išskyrus rėmų sujungimo, centrinio šarnyro pirštams ir įvorėms), manipuliatoriaus korpusui, griebtuvo rėmui (išskyrus griebtuvo pirštams), varikliui be generatoriaus, starterio, filtrų, žarnų, radiatoriaus, radiatoriaus ventiliatoriaus, variklio daviklių ir elektros įrangos; Papildoma garantija pradedama skaičiuoti pasibaigus šios techninės specifikacijos 13.1 punkte nurodytai garantijai.</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rHeight w:val="254" w:hRule="atLeast"/>
        </w:trPr>
        <w:tc>
          <w:tcPr>
            <w:tcW w:w="846" w:type="dxa"/>
            <w:tcBorders/>
          </w:tcPr>
          <w:p>
            <w:pPr>
              <w:pStyle w:val="Normal"/>
              <w:widowControl/>
              <w:spacing w:before="0" w:afterAutospacing="0" w:after="0"/>
              <w:ind w:firstLine="1"/>
              <w:jc w:val="both"/>
              <w:textAlignment w:val="auto"/>
              <w:rPr>
                <w:rFonts w:ascii="Arial" w:hAnsi="Arial" w:eastAsia="Times New Roman" w:cs="Arial"/>
                <w:color w:val="000000"/>
              </w:rPr>
            </w:pPr>
            <w:r>
              <w:rPr>
                <w:rFonts w:eastAsia="Times New Roman" w:cs="Arial" w:ascii="Arial" w:hAnsi="Arial"/>
                <w:color w:val="000000"/>
                <w:kern w:val="0"/>
                <w:sz w:val="22"/>
                <w:szCs w:val="22"/>
                <w:lang w:val="en-GB" w:eastAsia="en-US" w:bidi="ar-SA"/>
              </w:rPr>
              <w:t>14.3.</w:t>
            </w:r>
          </w:p>
        </w:tc>
        <w:tc>
          <w:tcPr>
            <w:tcW w:w="6519"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garantiniu laikotarpiu sugedusios medkirtės, kuri negali važiuoti sava eiga, pristatymas į remonto vietą tiekėjo sąskaita</w:t>
            </w:r>
          </w:p>
        </w:tc>
        <w:tc>
          <w:tcPr>
            <w:tcW w:w="2695" w:type="dxa"/>
            <w:tcBorders/>
          </w:tcPr>
          <w:p>
            <w:pPr>
              <w:pStyle w:val="Normal"/>
              <w:widowControl/>
              <w:spacing w:before="0" w:afterAutospacing="0" w:after="0"/>
              <w:ind w:firstLine="1"/>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rHeight w:val="136"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b/>
                <w:bCs/>
                <w:color w:val="000000"/>
                <w:kern w:val="0"/>
                <w:sz w:val="22"/>
                <w:szCs w:val="22"/>
                <w:lang w:val="lt-LT" w:eastAsia="en-US" w:bidi="ar-SA"/>
              </w:rPr>
              <w:t>15.</w:t>
            </w:r>
          </w:p>
        </w:tc>
        <w:tc>
          <w:tcPr>
            <w:tcW w:w="6519" w:type="dxa"/>
            <w:tcBorders/>
          </w:tcPr>
          <w:p>
            <w:pPr>
              <w:pStyle w:val="Normal"/>
              <w:widowControl/>
              <w:spacing w:before="0" w:afterAutospacing="0" w:after="0"/>
              <w:ind w:hanging="0"/>
              <w:jc w:val="both"/>
              <w:textAlignment w:val="auto"/>
              <w:rPr>
                <w:rFonts w:ascii="Arial" w:hAnsi="Arial" w:cs="Arial"/>
                <w:b/>
                <w:lang w:val="lt-LT"/>
              </w:rPr>
            </w:pPr>
            <w:r>
              <w:rPr>
                <w:rFonts w:eastAsia="Calibri" w:cs="Arial" w:ascii="Arial" w:hAnsi="Arial"/>
                <w:b/>
                <w:color w:val="000000"/>
                <w:kern w:val="0"/>
                <w:sz w:val="22"/>
                <w:szCs w:val="22"/>
                <w:lang w:val="lt-LT" w:eastAsia="en-US" w:bidi="ar-SA"/>
              </w:rPr>
              <w:t>Kiti reikalavimai:</w:t>
            </w:r>
          </w:p>
        </w:tc>
        <w:tc>
          <w:tcPr>
            <w:tcW w:w="2695" w:type="dxa"/>
            <w:tcBorders/>
          </w:tcPr>
          <w:p>
            <w:pPr>
              <w:pStyle w:val="Normal"/>
              <w:widowControl/>
              <w:spacing w:before="0" w:afterAutospacing="0" w:after="0"/>
              <w:ind w:hanging="0"/>
              <w:jc w:val="both"/>
              <w:textAlignment w:val="auto"/>
              <w:rPr>
                <w:rFonts w:ascii="Arial" w:hAnsi="Arial" w:cs="Arial"/>
                <w:b/>
                <w:color w:val="000000"/>
              </w:rPr>
            </w:pPr>
            <w:r>
              <w:rPr>
                <w:rFonts w:eastAsia="Calibri" w:cs="Arial" w:ascii="Arial" w:hAnsi="Arial"/>
                <w:b/>
                <w:color w:val="000000"/>
                <w:kern w:val="0"/>
                <w:sz w:val="22"/>
                <w:szCs w:val="22"/>
                <w:lang w:val="en-GB" w:eastAsia="en-US" w:bidi="ar-SA"/>
              </w:rPr>
            </w:r>
          </w:p>
        </w:tc>
      </w:tr>
      <w:tr>
        <w:trPr>
          <w:trHeight w:val="230" w:hRule="atLeast"/>
        </w:trPr>
        <w:tc>
          <w:tcPr>
            <w:tcW w:w="846" w:type="dxa"/>
            <w:tcBorders/>
          </w:tcPr>
          <w:p>
            <w:pPr>
              <w:pStyle w:val="Normal"/>
              <w:widowControl/>
              <w:spacing w:before="0" w:afterAutospacing="0" w:after="0"/>
              <w:ind w:firstLine="1"/>
              <w:jc w:val="both"/>
              <w:textAlignment w:val="auto"/>
              <w:rPr>
                <w:rFonts w:ascii="Arial" w:hAnsi="Arial" w:eastAsia="Calibri" w:cs="Arial"/>
                <w:b/>
                <w:bCs/>
                <w:color w:val="000000"/>
                <w:lang w:val="lt-LT"/>
              </w:rPr>
            </w:pPr>
            <w:r>
              <w:rPr>
                <w:rFonts w:eastAsia="Calibri" w:cs="Arial" w:ascii="Arial" w:hAnsi="Arial"/>
                <w:color w:val="000000"/>
                <w:kern w:val="0"/>
                <w:sz w:val="22"/>
                <w:szCs w:val="22"/>
                <w:lang w:val="lt-LT" w:eastAsia="en-US" w:bidi="ar-SA"/>
              </w:rPr>
              <w:t>15.1.</w:t>
            </w:r>
          </w:p>
        </w:tc>
        <w:tc>
          <w:tcPr>
            <w:tcW w:w="6519" w:type="dxa"/>
            <w:tcBorders/>
          </w:tcPr>
          <w:p>
            <w:pPr>
              <w:pStyle w:val="Normal"/>
              <w:widowControl/>
              <w:spacing w:before="0" w:afterAutospacing="0" w:after="0"/>
              <w:ind w:firstLine="1"/>
              <w:jc w:val="both"/>
              <w:textAlignment w:val="auto"/>
              <w:rPr>
                <w:rFonts w:ascii="Arial" w:hAnsi="Arial" w:eastAsia="Times New Roman" w:cs="Arial"/>
                <w:b/>
                <w:bCs/>
                <w:color w:val="000000"/>
                <w:lang w:val="lt-LT"/>
              </w:rPr>
            </w:pPr>
            <w:r>
              <w:rPr>
                <w:rFonts w:eastAsia="Times New Roman" w:cs="Arial" w:ascii="Arial" w:hAnsi="Arial"/>
                <w:kern w:val="0"/>
                <w:sz w:val="22"/>
                <w:szCs w:val="22"/>
                <w:lang w:val="lt-LT" w:eastAsia="en-US" w:bidi="ar-SA"/>
              </w:rPr>
              <w:t xml:space="preserve">4 medkirtės operatorių </w:t>
            </w:r>
            <w:r>
              <w:rPr>
                <w:rFonts w:eastAsia="Times New Roman" w:cs="Arial" w:ascii="Arial" w:hAnsi="Arial"/>
                <w:color w:val="000000"/>
                <w:kern w:val="0"/>
                <w:sz w:val="22"/>
                <w:szCs w:val="22"/>
                <w:lang w:val="lt-LT" w:eastAsia="en-US" w:bidi="ar-SA"/>
              </w:rPr>
              <w:t xml:space="preserve"> </w:t>
            </w:r>
            <w:r>
              <w:rPr>
                <w:rFonts w:eastAsia="Times New Roman" w:cs="Arial" w:ascii="Arial" w:hAnsi="Arial"/>
                <w:kern w:val="0"/>
                <w:sz w:val="22"/>
                <w:szCs w:val="22"/>
                <w:lang w:val="lt-LT" w:eastAsia="en-US" w:bidi="ar-SA"/>
              </w:rPr>
              <w:t>apmokymas dirbti ne mažiau 32 darbo valandų (1 operatoriui) tiekėjo sąskaita. Operatoriai turi būti apmokyti iki prekių perdavimo – priėmimo akto pasirašymo;</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15.2.</w:t>
            </w:r>
          </w:p>
        </w:tc>
        <w:tc>
          <w:tcPr>
            <w:tcW w:w="6519" w:type="dxa"/>
            <w:tcBorders/>
          </w:tcPr>
          <w:p>
            <w:pPr>
              <w:pStyle w:val="Normal"/>
              <w:widowControl/>
              <w:spacing w:before="0" w:afterAutospacing="0" w:after="0"/>
              <w:ind w:hanging="0"/>
              <w:jc w:val="both"/>
              <w:textAlignment w:val="auto"/>
              <w:rPr>
                <w:rFonts w:ascii="Arial" w:hAnsi="Arial" w:cs="Arial"/>
                <w:color w:themeColor="text1" w:val="000000"/>
                <w:lang w:val="lt-LT"/>
              </w:rPr>
            </w:pPr>
            <w:r>
              <w:rPr>
                <w:rFonts w:eastAsia="Calibri" w:cs="Arial" w:ascii="Arial" w:hAnsi="Arial"/>
                <w:color w:themeColor="text1" w:val="000000"/>
                <w:kern w:val="0"/>
                <w:sz w:val="22"/>
                <w:szCs w:val="22"/>
                <w:lang w:val="lt-LT" w:eastAsia="en-US" w:bidi="ar-SA"/>
              </w:rPr>
              <w:t>visos medkirtės sistemos ir agregatai, važiuojant ar  dirbant stovėjimo rėžime, turi likti darbingos būklės oro temperatūros intervale nuo -30°C iki +40°C;</w:t>
            </w:r>
          </w:p>
        </w:tc>
        <w:tc>
          <w:tcPr>
            <w:tcW w:w="2695" w:type="dxa"/>
            <w:tcBorders/>
          </w:tcPr>
          <w:p>
            <w:pPr>
              <w:pStyle w:val="Normal"/>
              <w:widowControl/>
              <w:spacing w:before="0" w:afterAutospacing="0" w:after="0"/>
              <w:ind w:hanging="0"/>
              <w:jc w:val="both"/>
              <w:textAlignment w:val="auto"/>
              <w:rPr>
                <w:rFonts w:ascii="Arial" w:hAnsi="Arial" w:cs="Arial"/>
                <w:color w:themeColor="text1" w:val="000000"/>
                <w:lang w:val="pt-BR"/>
              </w:rPr>
            </w:pPr>
            <w:r>
              <w:rPr>
                <w:rFonts w:eastAsia="Calibri" w:cs="Arial" w:ascii="Arial" w:hAnsi="Arial"/>
                <w:color w:themeColor="text1" w:val="000000"/>
                <w:kern w:val="0"/>
                <w:sz w:val="22"/>
                <w:szCs w:val="22"/>
                <w:lang w:val="pt-BR" w:eastAsia="en-US" w:bidi="ar-SA"/>
              </w:rPr>
            </w:r>
          </w:p>
        </w:tc>
      </w:tr>
      <w:tr>
        <w:trPr>
          <w:trHeight w:val="220"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15.3.</w:t>
            </w:r>
          </w:p>
        </w:tc>
        <w:tc>
          <w:tcPr>
            <w:tcW w:w="6519"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val="000000"/>
                <w:kern w:val="0"/>
                <w:sz w:val="22"/>
                <w:szCs w:val="22"/>
                <w:lang w:val="lt-LT" w:eastAsia="en-US" w:bidi="ar-SA"/>
              </w:rPr>
              <w:t xml:space="preserve">medkirtė </w:t>
            </w:r>
            <w:r>
              <w:rPr>
                <w:rFonts w:eastAsia="Calibri" w:cs="Arial" w:ascii="Arial" w:hAnsi="Arial"/>
                <w:kern w:val="0"/>
                <w:sz w:val="22"/>
                <w:szCs w:val="22"/>
                <w:lang w:val="lt-LT" w:eastAsia="ar-SA" w:bidi="ar-SA"/>
              </w:rPr>
              <w:t>turi būti užpildyta reikalingais skysčiais;</w:t>
            </w:r>
          </w:p>
        </w:tc>
        <w:tc>
          <w:tcPr>
            <w:tcW w:w="2695" w:type="dxa"/>
            <w:tcBorders/>
          </w:tcPr>
          <w:p>
            <w:pPr>
              <w:pStyle w:val="Normal"/>
              <w:widowControl/>
              <w:spacing w:before="0" w:afterAutospacing="0" w:after="0"/>
              <w:ind w:hanging="0"/>
              <w:jc w:val="both"/>
              <w:textAlignment w:val="auto"/>
              <w:rPr>
                <w:rFonts w:ascii="Arial" w:hAnsi="Arial" w:cs="Arial"/>
                <w:color w:val="000000"/>
                <w:lang w:val="lt-LT"/>
              </w:rPr>
            </w:pPr>
            <w:r>
              <w:rPr>
                <w:rFonts w:eastAsia="Calibri" w:cs="Arial" w:ascii="Arial" w:hAnsi="Arial"/>
                <w:color w:val="000000"/>
                <w:kern w:val="0"/>
                <w:sz w:val="22"/>
                <w:szCs w:val="22"/>
                <w:lang w:val="lt-LT"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15.4.</w:t>
            </w:r>
          </w:p>
        </w:tc>
        <w:tc>
          <w:tcPr>
            <w:tcW w:w="6519"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mobilaus serviso (gamintojo apmokyto ir atestuoto personalo) paslaugos ir atsarginių dalių tiekimas garantiniu ir pogarantiniu laikotarpiais;</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15.5.</w:t>
            </w:r>
          </w:p>
        </w:tc>
        <w:tc>
          <w:tcPr>
            <w:tcW w:w="6519"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lt-LT" w:bidi="ar-SA"/>
              </w:rPr>
              <w:t>medkirtė, turi atitikti techninės specifikacijos ir Europos Sąjungos standartų reikalavimus, būtų pagaminta serijinėje gamyboje (ne vienetinis modelis), sertifikuota - turi būti pateikiamas gamintojo CE ženklinimo sertifikato arba lygiaverčio dokumento tinkamai patvirtinta kopija su vertimu į lietuvių kalbą;</w:t>
            </w:r>
          </w:p>
        </w:tc>
        <w:tc>
          <w:tcPr>
            <w:tcW w:w="2695"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15.6.</w:t>
            </w:r>
          </w:p>
        </w:tc>
        <w:tc>
          <w:tcPr>
            <w:tcW w:w="6519" w:type="dxa"/>
            <w:tcBorders/>
          </w:tcPr>
          <w:p>
            <w:pPr>
              <w:pStyle w:val="Normal"/>
              <w:widowControl/>
              <w:spacing w:before="0" w:afterAutospacing="0" w:after="0"/>
              <w:ind w:hanging="0"/>
              <w:jc w:val="both"/>
              <w:textAlignment w:val="auto"/>
              <w:rPr>
                <w:rFonts w:ascii="Arial" w:hAnsi="Arial" w:eastAsia="Times New Roman" w:cs="Arial"/>
                <w:color w:val="000000"/>
                <w:lang w:val="lt-LT"/>
              </w:rPr>
            </w:pPr>
            <w:r>
              <w:rPr>
                <w:rFonts w:eastAsia="Times New Roman" w:cs="Arial" w:ascii="Arial" w:hAnsi="Arial"/>
                <w:color w:val="000000"/>
                <w:kern w:val="0"/>
                <w:sz w:val="22"/>
                <w:szCs w:val="22"/>
                <w:lang w:val="lt-LT" w:eastAsia="en-US" w:bidi="ar-SA"/>
              </w:rPr>
              <w:t>su medkirte privaloma pateikti šiuos dokumentus (skaitmeninėje laikmenoje):</w:t>
            </w:r>
          </w:p>
          <w:p>
            <w:pPr>
              <w:pStyle w:val="Normal"/>
              <w:widowControl/>
              <w:spacing w:before="0" w:afterAutospacing="0" w:after="0"/>
              <w:ind w:hanging="0"/>
              <w:jc w:val="both"/>
              <w:textAlignment w:val="auto"/>
              <w:rPr>
                <w:rFonts w:ascii="Arial" w:hAnsi="Arial" w:eastAsia="Times New Roman" w:cs="Arial"/>
                <w:color w:val="000000"/>
                <w:lang w:val="lt-LT"/>
              </w:rPr>
            </w:pPr>
            <w:r>
              <w:rPr>
                <w:rFonts w:eastAsia="Times New Roman" w:cs="Arial" w:ascii="Arial" w:hAnsi="Arial"/>
                <w:color w:val="000000"/>
                <w:kern w:val="0"/>
                <w:sz w:val="22"/>
                <w:szCs w:val="22"/>
                <w:lang w:val="lt-LT" w:eastAsia="en-US" w:bidi="ar-SA"/>
              </w:rPr>
              <w:t xml:space="preserve">eksploatacijos instrukciją, </w:t>
            </w:r>
          </w:p>
          <w:p>
            <w:pPr>
              <w:pStyle w:val="Normal"/>
              <w:widowControl/>
              <w:spacing w:before="0" w:afterAutospacing="0" w:after="0"/>
              <w:ind w:hanging="0"/>
              <w:jc w:val="both"/>
              <w:textAlignment w:val="auto"/>
              <w:rPr>
                <w:rFonts w:ascii="Arial" w:hAnsi="Arial" w:eastAsia="Times New Roman" w:cs="Arial"/>
                <w:color w:val="000000"/>
                <w:lang w:val="lt-LT"/>
              </w:rPr>
            </w:pPr>
            <w:r>
              <w:rPr>
                <w:rFonts w:eastAsia="Times New Roman" w:cs="Arial" w:ascii="Arial" w:hAnsi="Arial"/>
                <w:color w:val="000000"/>
                <w:kern w:val="0"/>
                <w:sz w:val="22"/>
                <w:szCs w:val="22"/>
                <w:lang w:val="lt-LT" w:eastAsia="en-US" w:bidi="ar-SA"/>
              </w:rPr>
              <w:t>kompiuterio programinės įrangos aprašymą,</w:t>
            </w:r>
          </w:p>
          <w:p>
            <w:pPr>
              <w:pStyle w:val="Normal"/>
              <w:widowControl/>
              <w:spacing w:before="0" w:afterAutospacing="0" w:after="0"/>
              <w:ind w:hanging="0"/>
              <w:jc w:val="both"/>
              <w:textAlignment w:val="auto"/>
              <w:rPr>
                <w:rFonts w:ascii="Arial" w:hAnsi="Arial" w:eastAsia="Times New Roman" w:cs="Arial"/>
                <w:color w:val="000000"/>
                <w:lang w:val="lt-LT"/>
              </w:rPr>
            </w:pPr>
            <w:r>
              <w:rPr>
                <w:rFonts w:eastAsia="Times New Roman" w:cs="Arial" w:ascii="Arial" w:hAnsi="Arial"/>
                <w:color w:val="000000"/>
                <w:kern w:val="0"/>
                <w:sz w:val="22"/>
                <w:szCs w:val="22"/>
                <w:lang w:val="lt-LT" w:eastAsia="en-US" w:bidi="ar-SA"/>
              </w:rPr>
              <w:t>papildomai medkirtėje integruotų sistemų aprašymai ir naudojimo instrukcijos (jei jos įrengtos);</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atsarginių detalių katalogą;</w:t>
            </w:r>
          </w:p>
          <w:p>
            <w:pPr>
              <w:pStyle w:val="Normal"/>
              <w:widowControl/>
              <w:spacing w:before="0" w:afterAutospacing="0" w:after="0"/>
              <w:ind w:hanging="0"/>
              <w:jc w:val="both"/>
              <w:textAlignment w:val="auto"/>
              <w:rPr>
                <w:rFonts w:ascii="Arial" w:hAnsi="Arial" w:eastAsia="Times New Roman" w:cs="Arial"/>
                <w:color w:val="000000"/>
                <w:lang w:val="lt-LT"/>
              </w:rPr>
            </w:pPr>
            <w:r>
              <w:rPr>
                <w:rFonts w:eastAsia="Times New Roman" w:cs="Arial" w:ascii="Arial" w:hAnsi="Arial"/>
                <w:color w:val="000000"/>
                <w:kern w:val="0"/>
                <w:sz w:val="22"/>
                <w:szCs w:val="22"/>
                <w:lang w:val="lt-LT" w:eastAsia="en-US" w:bidi="ar-SA"/>
              </w:rPr>
              <w:t>taip pat kitus reikalingus dokumentus, kurie reikalingi tinkamai naudoti ir eksploatuoti įsigytą techniką.</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val="000000"/>
                <w:kern w:val="0"/>
                <w:sz w:val="22"/>
                <w:szCs w:val="22"/>
                <w:lang w:val="lt-LT" w:eastAsia="en-US" w:bidi="ar-SA"/>
              </w:rPr>
              <w:t>Dokumentai pateikiami lietuvių kalba arba su tinkamu vertimu į lietuvių kalbą.</w:t>
            </w:r>
          </w:p>
        </w:tc>
        <w:tc>
          <w:tcPr>
            <w:tcW w:w="2695" w:type="dxa"/>
            <w:tcBorders/>
          </w:tcPr>
          <w:p>
            <w:pPr>
              <w:pStyle w:val="Normal"/>
              <w:widowControl/>
              <w:spacing w:before="0" w:afterAutospacing="0" w:after="0"/>
              <w:ind w:hanging="0"/>
              <w:jc w:val="both"/>
              <w:textAlignment w:val="auto"/>
              <w:rPr>
                <w:rFonts w:ascii="Arial" w:hAnsi="Arial" w:eastAsia="Times New Roman" w:cs="Arial"/>
                <w:color w:val="000000"/>
                <w:lang w:val="lt-LT"/>
              </w:rPr>
            </w:pPr>
            <w:r>
              <w:rPr>
                <w:rFonts w:eastAsia="Times New Roman" w:cs="Arial" w:ascii="Arial" w:hAnsi="Arial"/>
                <w:color w:val="000000"/>
                <w:kern w:val="0"/>
                <w:sz w:val="22"/>
                <w:szCs w:val="22"/>
                <w:lang w:val="lt-LT" w:eastAsia="en-US" w:bidi="ar-SA"/>
              </w:rPr>
            </w:r>
          </w:p>
        </w:tc>
      </w:tr>
      <w:tr>
        <w:trPr>
          <w:trHeight w:val="435" w:hRule="atLeast"/>
        </w:trPr>
        <w:tc>
          <w:tcPr>
            <w:tcW w:w="846" w:type="dxa"/>
            <w:tcBorders/>
          </w:tcPr>
          <w:p>
            <w:pPr>
              <w:pStyle w:val="Normal"/>
              <w:widowControl/>
              <w:spacing w:before="0" w:afterAutospacing="0" w:after="0"/>
              <w:ind w:firstLine="1"/>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15.7.</w:t>
            </w:r>
          </w:p>
        </w:tc>
        <w:tc>
          <w:tcPr>
            <w:tcW w:w="6519" w:type="dxa"/>
            <w:tcBorders/>
          </w:tcPr>
          <w:p>
            <w:pPr>
              <w:pStyle w:val="Normal"/>
              <w:widowControl/>
              <w:spacing w:before="0" w:after="100"/>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medkirtė Pirkėjo vardu turi būti užregistruota Lietuvos Respublikos teisės aktų nustatyta tvarka ir jai turi būti suteiktas valstybinio numerio ženklas.</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color w:val="000000"/>
                <w:kern w:val="0"/>
                <w:sz w:val="22"/>
                <w:szCs w:val="22"/>
                <w:lang w:val="lt-LT" w:eastAsia="en-US" w:bidi="ar-SA"/>
              </w:rPr>
              <w:t>Registravimas PPĮ - Tiekėjas ne vėliau nei prekės perdavimo dieną hidromanipuliatorių privalo įregistruoti Pirkėjo vardu Potencialiai pavojingų įrenginių valstybės registre (jeigu tai numato Lietuvos Respublikos potencialiai pavojingų įrenginių priežiūros įstatymas), prieš tai atlikęs naujai sumontuoto hidromanipuliatoriaus techninės būklės patikrą. Su preke pateikiama hidromanipuliatoriaus registracijos pažyma ir techninės būklės patikrinimo ataskaita.</w:t>
            </w:r>
            <w:r>
              <w:rPr>
                <w:rFonts w:eastAsia="Calibri" w:cs="Arial" w:ascii="Arial" w:hAnsi="Arial"/>
                <w:kern w:val="0"/>
                <w:sz w:val="22"/>
                <w:szCs w:val="22"/>
                <w:lang w:val="lt-LT" w:eastAsia="en-US" w:bidi="ar-SA"/>
              </w:rPr>
              <w:t xml:space="preserve"> Jeigu medkirtės EB atitikties deklaracijoje nurodyta, kad įrenginys pagamintas  pagal darnųjį standartą EN ISO 11850:2011/A1:2016, ši sąlyga (Registravimas PPĮ registre) netaikoma;</w:t>
            </w:r>
          </w:p>
        </w:tc>
        <w:tc>
          <w:tcPr>
            <w:tcW w:w="2695" w:type="dxa"/>
            <w:tcBorders/>
          </w:tcPr>
          <w:p>
            <w:pPr>
              <w:pStyle w:val="Normal"/>
              <w:widowControl/>
              <w:spacing w:before="0" w:afterAutospacing="0" w:after="0"/>
              <w:ind w:hanging="0"/>
              <w:jc w:val="both"/>
              <w:textAlignment w:val="auto"/>
              <w:rPr>
                <w:rFonts w:ascii="Arial" w:hAnsi="Arial" w:cs="Arial"/>
                <w:color w:val="000000"/>
                <w:lang w:val="lt-LT"/>
              </w:rPr>
            </w:pPr>
            <w:r>
              <w:rPr>
                <w:rFonts w:eastAsia="Calibri" w:cs="Arial" w:ascii="Arial" w:hAnsi="Arial"/>
                <w:color w:val="000000"/>
                <w:kern w:val="0"/>
                <w:sz w:val="22"/>
                <w:szCs w:val="22"/>
                <w:lang w:val="lt-LT" w:eastAsia="en-US" w:bidi="ar-SA"/>
              </w:rPr>
            </w:r>
          </w:p>
        </w:tc>
      </w:tr>
      <w:tr>
        <w:trPr>
          <w:trHeight w:val="498" w:hRule="atLeast"/>
        </w:trPr>
        <w:tc>
          <w:tcPr>
            <w:tcW w:w="846" w:type="dxa"/>
            <w:tcBorders/>
          </w:tcPr>
          <w:p>
            <w:pPr>
              <w:pStyle w:val="Normal"/>
              <w:widowControl/>
              <w:spacing w:before="0" w:afterAutospacing="0" w:after="0"/>
              <w:ind w:firstLine="1" w:end="-109"/>
              <w:jc w:val="both"/>
              <w:textAlignment w:val="auto"/>
              <w:rPr>
                <w:rFonts w:ascii="Arial" w:hAnsi="Arial" w:eastAsia="Calibri" w:cs="Arial"/>
                <w:color w:val="000000"/>
                <w:lang w:val="lt-LT"/>
              </w:rPr>
            </w:pPr>
            <w:r>
              <w:rPr>
                <w:rFonts w:eastAsia="Calibri" w:cs="Arial" w:ascii="Arial" w:hAnsi="Arial"/>
                <w:color w:val="000000"/>
                <w:kern w:val="0"/>
                <w:sz w:val="22"/>
                <w:szCs w:val="22"/>
                <w:lang w:val="lt-LT" w:eastAsia="en-US" w:bidi="ar-SA"/>
              </w:rPr>
              <w:t>15.8.</w:t>
            </w:r>
          </w:p>
        </w:tc>
        <w:tc>
          <w:tcPr>
            <w:tcW w:w="6519"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color w:themeColor="text1" w:val="000000"/>
                <w:lang w:val="lt-LT"/>
              </w:rPr>
            </w:pPr>
            <w:r>
              <w:rPr>
                <w:rFonts w:eastAsia="Calibri" w:cs="Arial" w:ascii="Arial" w:hAnsi="Arial"/>
                <w:color w:themeColor="text1" w:val="000000"/>
                <w:kern w:val="0"/>
                <w:sz w:val="22"/>
                <w:szCs w:val="22"/>
                <w:lang w:val="lt-LT" w:eastAsia="en-US" w:bidi="ar-SA"/>
              </w:rPr>
              <w:t>medkirtė turės būti pristatyta, per 12 mėnesių nuo sutarties įsigaliojimo  į VMU regioninį padalinį, VMU atsakingų darbuotojų nurodytu adresu.</w:t>
            </w:r>
          </w:p>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lang w:val="lt-LT" w:eastAsia="lt-LT"/>
              </w:rPr>
            </w:pPr>
            <w:r>
              <w:rPr>
                <w:rFonts w:eastAsia="Calibri" w:cs="Arial" w:ascii="Arial" w:hAnsi="Arial"/>
                <w:color w:themeColor="text1" w:val="000000"/>
                <w:kern w:val="0"/>
                <w:sz w:val="22"/>
                <w:szCs w:val="22"/>
                <w:lang w:val="lt-LT" w:eastAsia="en-US" w:bidi="ar-SA"/>
              </w:rPr>
              <w:t>Pastaba. Užsakovui ir Tiekėjui raštiškai patvirtinus, atskirą susitarimą (elektroniniu paštu),  kiekvienos medvežės pristatymo laiko periodas gali būti ankstinamas.</w:t>
            </w:r>
          </w:p>
        </w:tc>
        <w:tc>
          <w:tcPr>
            <w:tcW w:w="2695"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color w:themeColor="text1" w:val="000000"/>
                <w:lang w:val="lt-LT"/>
              </w:rPr>
            </w:pPr>
            <w:r>
              <w:rPr>
                <w:rFonts w:eastAsia="Calibri" w:cs="Arial" w:ascii="Arial" w:hAnsi="Arial"/>
                <w:color w:themeColor="text1" w:val="000000"/>
                <w:kern w:val="0"/>
                <w:sz w:val="22"/>
                <w:szCs w:val="22"/>
                <w:lang w:val="lt-LT" w:eastAsia="en-US" w:bidi="ar-SA"/>
              </w:rPr>
            </w:r>
          </w:p>
        </w:tc>
      </w:tr>
    </w:tbl>
    <w:p>
      <w:pPr>
        <w:pStyle w:val="Normal"/>
        <w:spacing w:before="0" w:afterAutospacing="0" w:after="0"/>
        <w:ind w:hanging="0"/>
        <w:textAlignment w:val="auto"/>
        <w:rPr>
          <w:rFonts w:ascii="Arial" w:hAnsi="Arial" w:eastAsia="Times New Roman" w:cs="Arial"/>
          <w:b/>
          <w:bCs/>
          <w:color w:themeColor="text1" w:val="000000"/>
          <w:lang w:eastAsia="lt-LT"/>
        </w:rPr>
      </w:pPr>
      <w:r>
        <w:rPr>
          <w:rFonts w:eastAsia="Times New Roman" w:cs="Arial" w:ascii="Arial" w:hAnsi="Arial"/>
          <w:b/>
          <w:bCs/>
          <w:color w:themeColor="text1" w:val="000000"/>
          <w:lang w:eastAsia="lt-LT"/>
        </w:rPr>
      </w:r>
    </w:p>
    <w:p>
      <w:pPr>
        <w:pStyle w:val="Normal"/>
        <w:spacing w:before="0" w:afterAutospacing="0" w:after="0"/>
        <w:ind w:hanging="0"/>
        <w:jc w:val="center"/>
        <w:textAlignment w:val="auto"/>
        <w:rPr>
          <w:rFonts w:ascii="Arial" w:hAnsi="Arial" w:eastAsia="Times New Roman" w:cs="Arial"/>
          <w:b/>
          <w:bCs/>
          <w:color w:themeColor="text1" w:val="000000"/>
          <w:lang w:eastAsia="lt-LT"/>
        </w:rPr>
      </w:pPr>
      <w:r>
        <w:rPr>
          <w:rFonts w:eastAsia="Times New Roman" w:cs="Arial" w:ascii="Arial" w:hAnsi="Arial"/>
          <w:b/>
          <w:bCs/>
          <w:color w:themeColor="text1" w:val="000000"/>
          <w:lang w:eastAsia="lt-LT"/>
        </w:rPr>
      </w:r>
    </w:p>
    <w:p>
      <w:pPr>
        <w:pStyle w:val="Normal"/>
        <w:spacing w:before="0" w:afterAutospacing="0" w:after="0"/>
        <w:ind w:hanging="0"/>
        <w:jc w:val="center"/>
        <w:textAlignment w:val="auto"/>
        <w:rPr>
          <w:rFonts w:ascii="Arial" w:hAnsi="Arial" w:cs="Arial"/>
          <w:b/>
          <w:bCs/>
        </w:rPr>
      </w:pPr>
      <w:r>
        <w:rPr>
          <w:rFonts w:cs="Arial" w:ascii="Arial" w:hAnsi="Arial"/>
          <w:b/>
          <w:bCs/>
        </w:rPr>
      </w:r>
    </w:p>
    <w:p>
      <w:pPr>
        <w:pStyle w:val="Normal"/>
        <w:spacing w:before="0" w:afterAutospacing="0" w:after="0"/>
        <w:ind w:hanging="0"/>
        <w:jc w:val="center"/>
        <w:textAlignment w:val="auto"/>
        <w:rPr>
          <w:rFonts w:ascii="Arial" w:hAnsi="Arial" w:eastAsia="Times New Roman" w:cs="Arial"/>
          <w:b/>
          <w:bCs/>
          <w:color w:val="000000"/>
          <w:lang w:eastAsia="lt-LT"/>
        </w:rPr>
      </w:pPr>
      <w:r>
        <w:rPr>
          <w:rFonts w:cs="Arial" w:ascii="Arial" w:hAnsi="Arial"/>
          <w:b/>
          <w:bCs/>
        </w:rPr>
        <w:t xml:space="preserve">XXS dydžio mažos </w:t>
      </w:r>
      <w:r>
        <w:rPr>
          <w:rFonts w:eastAsia="Times New Roman" w:cs="Arial" w:ascii="Arial" w:hAnsi="Arial"/>
          <w:b/>
          <w:bCs/>
          <w:lang w:eastAsia="lt-LT"/>
        </w:rPr>
        <w:t xml:space="preserve">medvežės </w:t>
      </w:r>
      <w:bookmarkStart w:id="1" w:name="_Hlk143255329"/>
      <w:r>
        <w:rPr>
          <w:rFonts w:eastAsia="Times New Roman" w:cs="Arial" w:ascii="Arial" w:hAnsi="Arial"/>
          <w:b/>
          <w:bCs/>
          <w:color w:themeColor="text1" w:val="000000"/>
          <w:lang w:eastAsia="lt-LT"/>
        </w:rPr>
        <w:t>ir jos techninio aptarnavimo bei remonto paslaugų pirkimo techninė specifikacija</w:t>
      </w:r>
      <w:bookmarkEnd w:id="1"/>
    </w:p>
    <w:p>
      <w:pPr>
        <w:pStyle w:val="Normal"/>
        <w:spacing w:before="0" w:afterAutospacing="0" w:after="0"/>
        <w:ind w:hanging="0"/>
        <w:jc w:val="center"/>
        <w:textAlignment w:val="auto"/>
        <w:rPr>
          <w:rFonts w:ascii="Arial" w:hAnsi="Arial" w:cs="Arial"/>
          <w:b/>
          <w:bCs/>
        </w:rPr>
      </w:pPr>
      <w:r>
        <w:rPr>
          <w:rFonts w:cs="Arial" w:ascii="Arial" w:hAnsi="Arial"/>
          <w:b/>
          <w:bCs/>
        </w:rPr>
      </w:r>
    </w:p>
    <w:tbl>
      <w:tblPr>
        <w:tblStyle w:val="Lentelstinklelis1"/>
        <w:tblW w:w="10060"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987"/>
        <w:gridCol w:w="6378"/>
        <w:gridCol w:w="2695"/>
      </w:tblGrid>
      <w:tr>
        <w:trPr/>
        <w:tc>
          <w:tcPr>
            <w:tcW w:w="987" w:type="dxa"/>
            <w:tcBorders/>
            <w:vAlign w:val="center"/>
          </w:tcPr>
          <w:p>
            <w:pPr>
              <w:pStyle w:val="Normal"/>
              <w:widowControl/>
              <w:spacing w:before="0" w:afterAutospacing="0" w:after="0"/>
              <w:ind w:hanging="0"/>
              <w:jc w:val="both"/>
              <w:textAlignment w:val="auto"/>
              <w:rPr>
                <w:rFonts w:ascii="Arial" w:hAnsi="Arial" w:cs="Arial"/>
                <w:b/>
                <w:lang w:val="lt-LT"/>
              </w:rPr>
            </w:pPr>
            <w:bookmarkStart w:id="2" w:name="_Hlk106621880"/>
            <w:bookmarkEnd w:id="2"/>
            <w:r>
              <w:rPr>
                <w:rFonts w:eastAsia="Calibri" w:cs="Arial" w:ascii="Arial" w:hAnsi="Arial"/>
                <w:b/>
                <w:color w:val="000000"/>
                <w:kern w:val="0"/>
                <w:sz w:val="22"/>
                <w:szCs w:val="22"/>
                <w:lang w:val="lt-LT" w:eastAsia="en-US" w:bidi="ar-SA"/>
              </w:rPr>
              <w:t>Eil. Nr.</w:t>
            </w:r>
          </w:p>
        </w:tc>
        <w:tc>
          <w:tcPr>
            <w:tcW w:w="6378" w:type="dxa"/>
            <w:tcBorders/>
          </w:tcPr>
          <w:p>
            <w:pPr>
              <w:pStyle w:val="Normal"/>
              <w:widowControl/>
              <w:spacing w:before="0" w:afterAutospacing="0" w:after="0"/>
              <w:ind w:hanging="0"/>
              <w:jc w:val="both"/>
              <w:textAlignment w:val="auto"/>
              <w:rPr>
                <w:rFonts w:ascii="Arial" w:hAnsi="Arial" w:cs="Arial"/>
                <w:b/>
                <w:bCs/>
                <w:lang w:val="lt-LT"/>
              </w:rPr>
            </w:pPr>
            <w:r>
              <w:rPr>
                <w:rFonts w:eastAsia="Calibri" w:cs="Arial" w:ascii="Arial" w:hAnsi="Arial"/>
                <w:b/>
                <w:bCs/>
                <w:kern w:val="0"/>
                <w:sz w:val="22"/>
                <w:szCs w:val="22"/>
                <w:lang w:val="lt-LT" w:eastAsia="en-US" w:bidi="ar-SA"/>
              </w:rPr>
              <w:t>XXS dydžio mažos medvežės su priekaba bei medžių karpymo žirklėmis techniniai rodikliai</w:t>
            </w:r>
            <w:r>
              <w:rPr>
                <w:rFonts w:eastAsia="Calibri" w:cs="Arial" w:ascii="Arial" w:hAnsi="Arial"/>
                <w:b/>
                <w:bCs/>
                <w:iCs/>
                <w:kern w:val="0"/>
                <w:sz w:val="22"/>
                <w:szCs w:val="22"/>
                <w:lang w:val="lt-LT" w:eastAsia="en-US" w:bidi="ar-SA"/>
              </w:rPr>
              <w:t xml:space="preserve"> ir jų minimalūs reikalavimai </w:t>
            </w:r>
          </w:p>
        </w:tc>
        <w:tc>
          <w:tcPr>
            <w:tcW w:w="2695" w:type="dxa"/>
            <w:tcBorders/>
          </w:tcPr>
          <w:p>
            <w:pPr>
              <w:pStyle w:val="Normal"/>
              <w:widowControl/>
              <w:spacing w:before="0" w:afterAutospacing="0" w:after="0"/>
              <w:ind w:hanging="0"/>
              <w:jc w:val="center"/>
              <w:textAlignment w:val="auto"/>
              <w:rPr>
                <w:rFonts w:ascii="Arial" w:hAnsi="Arial" w:cs="Arial"/>
                <w:b/>
                <w:bCs/>
                <w:lang w:val="lt-LT"/>
              </w:rPr>
            </w:pPr>
            <w:r>
              <w:rPr>
                <w:rFonts w:eastAsia="Calibri" w:cs="Arial" w:ascii="Arial" w:hAnsi="Arial"/>
                <w:b/>
                <w:bCs/>
                <w:color w:val="FF0000"/>
                <w:kern w:val="0"/>
                <w:sz w:val="22"/>
                <w:szCs w:val="22"/>
                <w:lang w:val="lt-LT" w:eastAsia="en-US" w:bidi="ar-SA"/>
              </w:rPr>
              <w:t>Tiekėjo atsakymai/komentarai</w:t>
            </w:r>
          </w:p>
        </w:tc>
      </w:tr>
      <w:tr>
        <w:trPr>
          <w:trHeight w:val="412" w:hRule="atLeast"/>
        </w:trPr>
        <w:tc>
          <w:tcPr>
            <w:tcW w:w="987" w:type="dxa"/>
            <w:tcBorders/>
          </w:tcPr>
          <w:p>
            <w:pPr>
              <w:pStyle w:val="Normal"/>
              <w:widowControl/>
              <w:numPr>
                <w:ilvl w:val="1"/>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r>
          </w:p>
        </w:tc>
        <w:tc>
          <w:tcPr>
            <w:tcW w:w="6378" w:type="dxa"/>
            <w:tcBorders/>
          </w:tcPr>
          <w:p>
            <w:pPr>
              <w:pStyle w:val="Normal"/>
              <w:widowControl/>
              <w:spacing w:before="0" w:afterAutospacing="0" w:after="0"/>
              <w:ind w:firstLine="1"/>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Medvežės, neįskaitant priekabos, išmatavimai, svoriai ir kiti gabaritų parametrai:</w:t>
            </w:r>
          </w:p>
        </w:tc>
        <w:tc>
          <w:tcPr>
            <w:tcW w:w="2695" w:type="dxa"/>
            <w:tcBorders/>
          </w:tcPr>
          <w:p>
            <w:pPr>
              <w:pStyle w:val="Normal"/>
              <w:widowControl/>
              <w:spacing w:before="0" w:afterAutospacing="0" w:after="0"/>
              <w:ind w:firstLine="1"/>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gamintojo oficialiuose šaltiniuose deklaruojama bendroji masė be krovinio (išskyrus vikšrų svorį) – ne daugiau 6000 kg. Faktinė mašinos masė gali būti ir didesnė nei gamintojo deklaruota, tačiau ne daugiau kaip 15 proc.; Perkamas kiekis – 1 vnt.</w:t>
            </w:r>
          </w:p>
        </w:tc>
        <w:tc>
          <w:tcPr>
            <w:tcW w:w="2695"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firstLine="1"/>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keliamoji galia – ne mažiau 5000 kg;</w:t>
            </w:r>
          </w:p>
        </w:tc>
        <w:tc>
          <w:tcPr>
            <w:tcW w:w="2695" w:type="dxa"/>
            <w:tcBorders/>
          </w:tcPr>
          <w:p>
            <w:pPr>
              <w:pStyle w:val="Normal"/>
              <w:widowControl/>
              <w:spacing w:before="0" w:afterAutospacing="0" w:after="0"/>
              <w:ind w:firstLine="1"/>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didžiausias leidžiamas plotis – ne daugiau kaip 2400 mm;</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pt-BR"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 xml:space="preserve">prošvaisa (be vikšrų) – </w:t>
            </w:r>
            <w:r>
              <w:rPr>
                <w:rFonts w:eastAsia="Times New Roman" w:cs="Arial" w:ascii="Arial" w:hAnsi="Arial"/>
                <w:kern w:val="0"/>
                <w:sz w:val="22"/>
                <w:szCs w:val="22"/>
                <w:lang w:val="lt-LT" w:eastAsia="lt-LT" w:bidi="ar-SA"/>
              </w:rPr>
              <w:t>ne</w:t>
            </w:r>
            <w:r>
              <w:rPr>
                <w:rFonts w:eastAsia="Times New Roman" w:cs="Arial" w:ascii="Arial" w:hAnsi="Arial"/>
                <w:kern w:val="0"/>
                <w:sz w:val="22"/>
                <w:szCs w:val="22"/>
                <w:lang w:val="lt-LT" w:eastAsia="en-US" w:bidi="ar-SA"/>
              </w:rPr>
              <w:t xml:space="preserve"> mažiau 400 mm;</w:t>
            </w:r>
          </w:p>
        </w:tc>
        <w:tc>
          <w:tcPr>
            <w:tcW w:w="2695" w:type="dxa"/>
            <w:tcBorders/>
          </w:tcPr>
          <w:p>
            <w:pPr>
              <w:pStyle w:val="Normal"/>
              <w:widowControl/>
              <w:spacing w:before="0" w:afterAutospacing="0" w:after="0"/>
              <w:ind w:hanging="0"/>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krovinio vietos ilgis nuo apsauginių grotų – ne mažiau 3000 mm;</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pt-BR"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apsauginių grotų plotas – ne mažiau 2 m</w:t>
            </w:r>
            <w:r>
              <w:rPr>
                <w:rFonts w:eastAsia="Times New Roman" w:cs="Arial" w:ascii="Arial" w:hAnsi="Arial"/>
                <w:kern w:val="0"/>
                <w:sz w:val="22"/>
                <w:szCs w:val="22"/>
                <w:vertAlign w:val="superscript"/>
                <w:lang w:val="lt-LT" w:eastAsia="en-US" w:bidi="ar-SA"/>
              </w:rPr>
              <w:t>2</w:t>
            </w:r>
            <w:r>
              <w:rPr>
                <w:rFonts w:eastAsia="Times New Roman" w:cs="Arial" w:ascii="Arial" w:hAnsi="Arial"/>
                <w:bCs/>
                <w:kern w:val="0"/>
                <w:sz w:val="22"/>
                <w:szCs w:val="22"/>
                <w:lang w:val="lt-LT" w:eastAsia="en-US" w:bidi="ar-SA"/>
              </w:rPr>
              <w:t xml:space="preserve"> </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pt-BR"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transportinis aukštis – ne daugiau 3000 mm.</w:t>
            </w:r>
          </w:p>
        </w:tc>
        <w:tc>
          <w:tcPr>
            <w:tcW w:w="2695"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1"/>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Variklis:</w:t>
            </w:r>
          </w:p>
        </w:tc>
        <w:tc>
          <w:tcPr>
            <w:tcW w:w="2695" w:type="dxa"/>
            <w:tcBorders/>
          </w:tcPr>
          <w:p>
            <w:pPr>
              <w:pStyle w:val="Normal"/>
              <w:widowControl/>
              <w:spacing w:before="0" w:afterAutospacing="0" w:after="0"/>
              <w:ind w:hanging="0"/>
              <w:jc w:val="both"/>
              <w:textAlignment w:val="auto"/>
              <w:rPr>
                <w:rFonts w:ascii="Arial" w:hAnsi="Arial" w:eastAsia="Times New Roman" w:cs="Arial"/>
                <w:b/>
                <w:bCs/>
              </w:rPr>
            </w:pPr>
            <w:r>
              <w:rPr>
                <w:rFonts w:eastAsia="Times New Roman" w:cs="Arial" w:ascii="Arial" w:hAnsi="Arial"/>
                <w:b/>
                <w:bCs/>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ne mažiau 4 cilindrų turbodyzelinis, atitinkantis 2016 m. rugsėjo 14 d. Europos Parlamento ir Tarybos reglamentą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 nuostatų įgyvendinimo“</w:t>
            </w:r>
            <w:r>
              <w:rPr>
                <w:rFonts w:eastAsia="Calibri" w:cs="Arial" w:ascii="Arial" w:hAnsi="Arial"/>
                <w:color w:themeColor="text1" w:val="000000"/>
                <w:kern w:val="0"/>
                <w:sz w:val="22"/>
                <w:szCs w:val="22"/>
                <w:lang w:val="lt-LT" w:eastAsia="en-US" w:bidi="ar-SA"/>
              </w:rPr>
              <w:t xml:space="preserve"> </w:t>
            </w:r>
            <w:r>
              <w:rPr>
                <w:rFonts w:eastAsia="Times New Roman" w:cs="Arial" w:ascii="Arial" w:hAnsi="Arial"/>
                <w:kern w:val="0"/>
                <w:sz w:val="22"/>
                <w:szCs w:val="22"/>
                <w:lang w:val="lt-LT" w:eastAsia="en-US" w:bidi="ar-SA"/>
              </w:rPr>
              <w:t>(aktuali redakcija– ES V etapo („EU Stage V“) arba lygiaverčius standartus;</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galia – ne mažiau 55 kW, esant 2000 - 2200 aps./min;</w:t>
            </w:r>
          </w:p>
        </w:tc>
        <w:tc>
          <w:tcPr>
            <w:tcW w:w="2695" w:type="dxa"/>
            <w:tcBorders/>
          </w:tcPr>
          <w:p>
            <w:pPr>
              <w:pStyle w:val="Normal"/>
              <w:widowControl/>
              <w:spacing w:before="0" w:afterAutospacing="0" w:after="0"/>
              <w:ind w:hanging="0"/>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rPr>
            </w:pPr>
            <w:r>
              <w:rPr>
                <w:rFonts w:eastAsia="Calibri" w:cs="Arial" w:ascii="Arial" w:hAnsi="Arial"/>
                <w:bCs/>
                <w:kern w:val="0"/>
                <w:sz w:val="22"/>
                <w:szCs w:val="22"/>
                <w:lang w:val="en-GB"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rPr>
            </w:pPr>
            <w:r>
              <w:rPr>
                <w:rFonts w:eastAsia="Times New Roman" w:cs="Arial" w:ascii="Arial" w:hAnsi="Arial"/>
                <w:kern w:val="0"/>
                <w:sz w:val="22"/>
                <w:szCs w:val="22"/>
                <w:lang w:val="lt-LT" w:eastAsia="en-US" w:bidi="ar-SA"/>
              </w:rPr>
              <w:t>sukimo momentas ne mažesnis kaip 300 Nm, esant  1600 aps/min.;</w:t>
            </w:r>
          </w:p>
        </w:tc>
        <w:tc>
          <w:tcPr>
            <w:tcW w:w="2695" w:type="dxa"/>
            <w:tcBorders/>
          </w:tcPr>
          <w:p>
            <w:pPr>
              <w:pStyle w:val="Normal"/>
              <w:widowControl/>
              <w:spacing w:before="0" w:afterAutospacing="0" w:after="0"/>
              <w:ind w:hanging="0"/>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variklio aušinimo skysčio ir hidraulinio tepalo dyzelinis šildytuvas, įjungiamas ir veikimo parametrai (veikimo pradžia ir pabaiga) reguliuojami nuotoliniu būdu per mobiliąją aplikaciją;</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su vandens separatoriumi degalų tiekimo sistemoje.</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1"/>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Transmisija:</w:t>
            </w:r>
          </w:p>
        </w:tc>
        <w:tc>
          <w:tcPr>
            <w:tcW w:w="2695" w:type="dxa"/>
            <w:tcBorders/>
          </w:tcPr>
          <w:p>
            <w:pPr>
              <w:pStyle w:val="Normal"/>
              <w:widowControl/>
              <w:spacing w:before="0" w:afterAutospacing="0" w:after="0"/>
              <w:ind w:hanging="0"/>
              <w:jc w:val="both"/>
              <w:textAlignment w:val="auto"/>
              <w:rPr>
                <w:rFonts w:ascii="Arial" w:hAnsi="Arial" w:eastAsia="Times New Roman" w:cs="Arial"/>
                <w:b/>
                <w:bCs/>
              </w:rPr>
            </w:pPr>
            <w:r>
              <w:rPr>
                <w:rFonts w:eastAsia="Times New Roman" w:cs="Arial" w:ascii="Arial" w:hAnsi="Arial"/>
                <w:b/>
                <w:bCs/>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tipas – hidrostatinė / mechaninė, ne mažiau 2 darbo režimų (darbinis ir transportinis);</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traukos galia – ne mažiau 55 kN;</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pt-BR" w:eastAsia="en-US" w:bidi="ar-SA"/>
              </w:rPr>
            </w:r>
          </w:p>
        </w:tc>
      </w:tr>
      <w:tr>
        <w:trPr>
          <w:trHeight w:val="420" w:hRule="atLeast"/>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highlight w:val="yellow"/>
                <w:lang w:val="lt-LT"/>
              </w:rPr>
            </w:pPr>
            <w:r>
              <w:rPr>
                <w:rFonts w:eastAsia="Arial" w:cs="Arial" w:ascii="Arial" w:hAnsi="Arial"/>
                <w:kern w:val="0"/>
                <w:sz w:val="22"/>
                <w:szCs w:val="22"/>
                <w:lang w:val="lt-LT" w:eastAsia="en-US" w:bidi="ar-SA"/>
              </w:rPr>
              <w:t xml:space="preserve">6 varantieji ratai FKF („šaukšto") profilio ir nemažesnių išmatavimų kaip 710/40X22.5 priekyje ir  500/50X17 gale padangomis, kurios yra su nemažesniu kaip 18 padangų sluoksnių reitingu </w:t>
            </w:r>
            <w:r>
              <w:rPr>
                <w:rFonts w:eastAsia="Arial" w:cs="Arial" w:ascii="Arial" w:hAnsi="Arial"/>
                <w:i/>
                <w:iCs/>
                <w:kern w:val="0"/>
                <w:sz w:val="22"/>
                <w:szCs w:val="22"/>
                <w:lang w:val="lt-LT" w:eastAsia="en-US" w:bidi="ar-SA"/>
              </w:rPr>
              <w:t>(„ply rating“</w:t>
            </w:r>
            <w:r>
              <w:rPr>
                <w:rFonts w:eastAsia="Arial" w:cs="Arial" w:ascii="Arial" w:hAnsi="Arial"/>
                <w:kern w:val="0"/>
                <w:sz w:val="22"/>
                <w:szCs w:val="22"/>
                <w:lang w:val="lt-LT" w:eastAsia="en-US" w:bidi="ar-SA"/>
              </w:rPr>
              <w:t>), skirtos miško technikai. Padangos turi būti tinkamos darbui su vikšrais ir/ar grandinėmis;</w:t>
            </w:r>
            <w:r>
              <w:rPr>
                <w:rFonts w:eastAsia="Times New Roman" w:cs="Arial" w:ascii="Arial" w:hAnsi="Arial"/>
                <w:color w:themeColor="text1" w:val="000000"/>
                <w:kern w:val="0"/>
                <w:sz w:val="22"/>
                <w:szCs w:val="22"/>
                <w:lang w:val="lt-LT" w:eastAsia="en-US" w:bidi="ar-SA"/>
              </w:rPr>
              <w:t xml:space="preserve"> Padangos turi būti naujos (nerestauruotos);</w:t>
            </w:r>
          </w:p>
        </w:tc>
        <w:tc>
          <w:tcPr>
            <w:tcW w:w="2695" w:type="dxa"/>
            <w:tcBorders/>
          </w:tcPr>
          <w:p>
            <w:pPr>
              <w:pStyle w:val="Normal"/>
              <w:widowControl/>
              <w:spacing w:before="0" w:afterAutospacing="0" w:after="0"/>
              <w:ind w:hanging="0"/>
              <w:jc w:val="both"/>
              <w:textAlignment w:val="auto"/>
              <w:rPr>
                <w:rFonts w:ascii="Arial" w:hAnsi="Arial" w:eastAsia="Arial" w:cs="Arial"/>
                <w:lang w:val="pt-BR"/>
              </w:rPr>
            </w:pPr>
            <w:r>
              <w:rPr>
                <w:rFonts w:eastAsia="Arial" w:cs="Arial" w:ascii="Arial" w:hAnsi="Arial"/>
                <w:kern w:val="0"/>
                <w:sz w:val="22"/>
                <w:szCs w:val="22"/>
                <w:lang w:val="pt-BR"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priekinio ir galinio tiltų diferencialų blokuotė.</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1"/>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Rėmas ir ašys:</w:t>
            </w:r>
          </w:p>
        </w:tc>
        <w:tc>
          <w:tcPr>
            <w:tcW w:w="2695" w:type="dxa"/>
            <w:tcBorders/>
          </w:tcPr>
          <w:p>
            <w:pPr>
              <w:pStyle w:val="Normal"/>
              <w:widowControl/>
              <w:spacing w:before="0" w:afterAutospacing="0" w:after="0"/>
              <w:ind w:hanging="0"/>
              <w:jc w:val="both"/>
              <w:textAlignment w:val="auto"/>
              <w:rPr>
                <w:rFonts w:ascii="Arial" w:hAnsi="Arial" w:eastAsia="Times New Roman" w:cs="Arial"/>
                <w:b/>
                <w:bCs/>
              </w:rPr>
            </w:pPr>
            <w:r>
              <w:rPr>
                <w:rFonts w:eastAsia="Times New Roman" w:cs="Arial" w:ascii="Arial" w:hAnsi="Arial"/>
                <w:b/>
                <w:bCs/>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šarnyrinis rėmas su hidrauliniu posūkio mechanizmu;</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rHeight w:val="225" w:hRule="atLeast"/>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priekinė ašis stabili, galinė su balansuotu tandeminiu  vežimėliu;</w:t>
            </w:r>
          </w:p>
        </w:tc>
        <w:tc>
          <w:tcPr>
            <w:tcW w:w="2695" w:type="dxa"/>
            <w:tcBorders/>
          </w:tcPr>
          <w:p>
            <w:pPr>
              <w:pStyle w:val="Normal"/>
              <w:widowControl/>
              <w:spacing w:before="0" w:afterAutospacing="0" w:after="0"/>
              <w:ind w:hanging="0"/>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tandeminių vežimėlių ribinės eigos ribotuvai;</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rHeight w:val="235" w:hRule="atLeast"/>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vilkimo kilpa, tinkama sukabinti su priekaba, rėmo gale;</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ne mažiau 3 rungų poros;</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bookmarkStart w:id="3" w:name="_Hlk103166890"/>
            <w:bookmarkStart w:id="4" w:name="_Hlk103166890"/>
            <w:bookmarkEnd w:id="4"/>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centrinio šarnyro blokavimo ar rėmo stabilizavimo sistema;</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rHeight w:val="234" w:hRule="atLeast"/>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rėmo posūkio kampas – ne mažiau +/- 42º;</w:t>
            </w:r>
          </w:p>
        </w:tc>
        <w:tc>
          <w:tcPr>
            <w:tcW w:w="2695"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1"/>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Hidraulinė sistema:</w:t>
            </w:r>
          </w:p>
        </w:tc>
        <w:tc>
          <w:tcPr>
            <w:tcW w:w="2695" w:type="dxa"/>
            <w:tcBorders/>
          </w:tcPr>
          <w:p>
            <w:pPr>
              <w:pStyle w:val="Normal"/>
              <w:widowControl/>
              <w:spacing w:before="0" w:afterAutospacing="0" w:after="0"/>
              <w:ind w:hanging="0"/>
              <w:jc w:val="both"/>
              <w:textAlignment w:val="auto"/>
              <w:rPr>
                <w:rFonts w:ascii="Arial" w:hAnsi="Arial" w:eastAsia="Times New Roman" w:cs="Arial"/>
                <w:b/>
                <w:bCs/>
              </w:rPr>
            </w:pPr>
            <w:r>
              <w:rPr>
                <w:rFonts w:eastAsia="Times New Roman" w:cs="Arial" w:ascii="Arial" w:hAnsi="Arial"/>
                <w:b/>
                <w:bCs/>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ne mažiau vieno kontūro sistema su kintamo našumo hidrosiurbliu;</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grįžtamo hidraulinio skysčio filtrai;</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vakuuminis hidrosistemos siurblys;</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vizualinė hidraulinio skysčio žemo lygio signalizacija.</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1"/>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Stabdžių sistema:</w:t>
            </w:r>
          </w:p>
        </w:tc>
        <w:tc>
          <w:tcPr>
            <w:tcW w:w="2695" w:type="dxa"/>
            <w:tcBorders/>
          </w:tcPr>
          <w:p>
            <w:pPr>
              <w:pStyle w:val="Normal"/>
              <w:widowControl/>
              <w:spacing w:before="0" w:afterAutospacing="0" w:after="0"/>
              <w:ind w:hanging="0"/>
              <w:jc w:val="both"/>
              <w:textAlignment w:val="auto"/>
              <w:rPr>
                <w:rFonts w:ascii="Arial" w:hAnsi="Arial" w:eastAsia="Times New Roman" w:cs="Arial"/>
                <w:b/>
                <w:bCs/>
              </w:rPr>
            </w:pPr>
            <w:r>
              <w:rPr>
                <w:rFonts w:eastAsia="Times New Roman" w:cs="Arial" w:ascii="Arial" w:hAnsi="Arial"/>
                <w:b/>
                <w:bCs/>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hidrauliniai diskiniai stabdžiai, automatiškai įsijungiantys / išsijungiantys manipuliatoriaus darbo režime;</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stovėjimo stabdis, avarinis stabdis.</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1"/>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Kabina:</w:t>
            </w:r>
          </w:p>
        </w:tc>
        <w:tc>
          <w:tcPr>
            <w:tcW w:w="2695" w:type="dxa"/>
            <w:tcBorders/>
          </w:tcPr>
          <w:p>
            <w:pPr>
              <w:pStyle w:val="Normal"/>
              <w:widowControl/>
              <w:spacing w:before="0" w:afterAutospacing="0" w:after="0"/>
              <w:ind w:hanging="0"/>
              <w:jc w:val="both"/>
              <w:textAlignment w:val="auto"/>
              <w:rPr>
                <w:rFonts w:ascii="Arial" w:hAnsi="Arial" w:eastAsia="Times New Roman" w:cs="Arial"/>
                <w:b/>
                <w:bCs/>
              </w:rPr>
            </w:pPr>
            <w:r>
              <w:rPr>
                <w:rFonts w:eastAsia="Times New Roman" w:cs="Arial" w:ascii="Arial" w:hAnsi="Arial"/>
                <w:b/>
                <w:bCs/>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 xml:space="preserve">kabinos pakėlimas hidrauliniu mechanizmu; </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highlight w:val="yellow"/>
                <w:lang w:val="lt-LT"/>
              </w:rPr>
            </w:pPr>
            <w:r>
              <w:rPr>
                <w:rFonts w:eastAsia="Calibri" w:cs="Arial" w:ascii="Arial" w:hAnsi="Arial"/>
                <w:kern w:val="0"/>
                <w:sz w:val="22"/>
                <w:szCs w:val="22"/>
                <w:lang w:val="lt-LT" w:eastAsia="en-US" w:bidi="ar-SA"/>
              </w:rPr>
              <w:t>kabina su smūgiams atspariais stiklais, privalo būti sertifikuota pagal ROPS, OPS, FOPS standartus arba lygiaverčius;</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su šilumos ir garso izoliacija;</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su saulę atspindinčiomis užuolaidomis nuo saulės priekiniam, galiniam ir šoniniams stiklams;</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su stiklų valytuvais ant priekinio, galinio langų stiklų;</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su automatine oro kondicionavimo sistema;</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su porankiais, ant oro pagalvės, šildoma operatoriaus sėdyne, kurios pasisukimo kampas ne mažiau 200 laipsnių;</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audiosistema;</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galinio vaizdo kamera su vaizdo ekranu kabinoje.</w:t>
            </w:r>
          </w:p>
        </w:tc>
        <w:tc>
          <w:tcPr>
            <w:tcW w:w="2695" w:type="dxa"/>
            <w:tcBorders/>
          </w:tcPr>
          <w:p>
            <w:pPr>
              <w:pStyle w:val="Normal"/>
              <w:widowControl/>
              <w:spacing w:before="0" w:afterAutospacing="0" w:after="0"/>
              <w:ind w:hanging="0"/>
              <w:jc w:val="both"/>
              <w:textAlignment w:val="auto"/>
              <w:rPr>
                <w:rFonts w:ascii="Arial" w:hAnsi="Arial" w:cs="Arial"/>
                <w:lang w:val="pl-PL"/>
              </w:rPr>
            </w:pPr>
            <w:r>
              <w:rPr>
                <w:rFonts w:eastAsia="Calibri" w:cs="Arial" w:ascii="Arial" w:hAnsi="Arial"/>
                <w:kern w:val="0"/>
                <w:sz w:val="22"/>
                <w:szCs w:val="22"/>
                <w:lang w:val="pl-PL" w:eastAsia="en-US" w:bidi="ar-SA"/>
              </w:rPr>
            </w:r>
          </w:p>
        </w:tc>
      </w:tr>
      <w:tr>
        <w:trPr/>
        <w:tc>
          <w:tcPr>
            <w:tcW w:w="987" w:type="dxa"/>
            <w:tcBorders/>
          </w:tcPr>
          <w:p>
            <w:pPr>
              <w:pStyle w:val="Normal"/>
              <w:widowControl/>
              <w:numPr>
                <w:ilvl w:val="1"/>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Manipuliatorius ir griebtuvas:</w:t>
            </w:r>
          </w:p>
        </w:tc>
        <w:tc>
          <w:tcPr>
            <w:tcW w:w="2695" w:type="dxa"/>
            <w:tcBorders/>
          </w:tcPr>
          <w:p>
            <w:pPr>
              <w:pStyle w:val="Normal"/>
              <w:widowControl/>
              <w:spacing w:before="0" w:afterAutospacing="0" w:after="0"/>
              <w:ind w:hanging="0"/>
              <w:jc w:val="both"/>
              <w:textAlignment w:val="auto"/>
              <w:rPr>
                <w:rFonts w:ascii="Arial" w:hAnsi="Arial" w:eastAsia="Times New Roman" w:cs="Arial"/>
                <w:b/>
                <w:bCs/>
              </w:rPr>
            </w:pPr>
            <w:r>
              <w:rPr>
                <w:rFonts w:eastAsia="Times New Roman" w:cs="Arial" w:ascii="Arial" w:hAnsi="Arial"/>
                <w:b/>
                <w:bCs/>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highlight w:val="cyan"/>
                <w:lang w:val="lt-LT"/>
              </w:rPr>
            </w:pPr>
            <w:r>
              <w:rPr>
                <w:rFonts w:eastAsia="Times New Roman" w:cs="Arial" w:ascii="Arial" w:hAnsi="Arial"/>
                <w:kern w:val="0"/>
                <w:sz w:val="22"/>
                <w:szCs w:val="22"/>
                <w:lang w:val="lt-LT" w:eastAsia="en-US" w:bidi="ar-SA"/>
              </w:rPr>
              <w:t>teleskopinis manipuliatorius, kurio siekis ne mažiau 8 m;</w:t>
            </w:r>
          </w:p>
        </w:tc>
        <w:tc>
          <w:tcPr>
            <w:tcW w:w="2695" w:type="dxa"/>
            <w:tcBorders/>
          </w:tcPr>
          <w:p>
            <w:pPr>
              <w:pStyle w:val="Normal"/>
              <w:widowControl/>
              <w:spacing w:before="0" w:afterAutospacing="0" w:after="0"/>
              <w:ind w:hanging="0"/>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manipuliatoriaus kėlimo jėga – ne mažiau 45 kNm;</w:t>
            </w:r>
          </w:p>
        </w:tc>
        <w:tc>
          <w:tcPr>
            <w:tcW w:w="2695" w:type="dxa"/>
            <w:tcBorders/>
          </w:tcPr>
          <w:p>
            <w:pPr>
              <w:pStyle w:val="Normal"/>
              <w:widowControl/>
              <w:spacing w:before="0" w:afterAutospacing="0" w:after="0"/>
              <w:ind w:hanging="0"/>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manipuliatoriaus posūkio momentas – ne mažiau 13 kNm;</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pt-BR"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begalinio sukimo rotatorius;</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ne mažesnio kaip 0,20 m</w:t>
            </w:r>
            <w:r>
              <w:rPr>
                <w:rFonts w:eastAsia="Calibri" w:cs="Arial" w:ascii="Arial" w:hAnsi="Arial"/>
                <w:kern w:val="0"/>
                <w:sz w:val="22"/>
                <w:szCs w:val="22"/>
                <w:vertAlign w:val="superscript"/>
                <w:lang w:val="lt-LT" w:eastAsia="en-US" w:bidi="ar-SA"/>
              </w:rPr>
              <w:t xml:space="preserve">2 </w:t>
            </w:r>
            <w:r>
              <w:rPr>
                <w:rFonts w:eastAsia="Calibri" w:cs="Arial" w:ascii="Arial" w:hAnsi="Arial"/>
                <w:kern w:val="0"/>
                <w:sz w:val="22"/>
                <w:szCs w:val="22"/>
                <w:lang w:val="lt-LT" w:eastAsia="en-US" w:bidi="ar-SA"/>
              </w:rPr>
              <w:t xml:space="preserve">užgriebio ploto griebtuvas; </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diskinis griebtuvo stabilizatorius;</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2"/>
                <w:numId w:val="1"/>
              </w:numPr>
              <w:tabs>
                <w:tab w:val="clear" w:pos="1296"/>
                <w:tab w:val="left" w:pos="567" w:leader="none"/>
                <w:tab w:val="left" w:pos="680" w:leader="none"/>
                <w:tab w:val="left" w:pos="720" w:leader="none"/>
                <w:tab w:val="left" w:pos="6425" w:leader="none"/>
              </w:tabs>
              <w:spacing w:before="0" w:afterAutospacing="0" w:after="0"/>
              <w:ind w:firstLine="567"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lt-LT" w:bidi="ar-SA"/>
              </w:rPr>
              <w:t>galimybė paprastai ir greitai lauko sąlygomis prijungti  medžių karpymo žirkles.</w:t>
            </w:r>
          </w:p>
        </w:tc>
        <w:tc>
          <w:tcPr>
            <w:tcW w:w="2695"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t>9.</w:t>
            </w:r>
          </w:p>
        </w:tc>
        <w:tc>
          <w:tcPr>
            <w:tcW w:w="6378" w:type="dxa"/>
            <w:tcBorders/>
          </w:tcPr>
          <w:p>
            <w:pPr>
              <w:pStyle w:val="Normal"/>
              <w:widowControl/>
              <w:spacing w:before="0" w:afterAutospacing="0" w:after="0"/>
              <w:ind w:hanging="0"/>
              <w:jc w:val="both"/>
              <w:textAlignment w:val="auto"/>
              <w:rPr>
                <w:rFonts w:ascii="Arial" w:hAnsi="Arial" w:cs="Arial"/>
                <w:b/>
                <w:bCs/>
                <w:lang w:val="lt-LT" w:eastAsia="lt-LT"/>
              </w:rPr>
            </w:pPr>
            <w:r>
              <w:rPr>
                <w:rFonts w:eastAsia="Calibri" w:cs="Arial" w:ascii="Arial" w:hAnsi="Arial"/>
                <w:b/>
                <w:bCs/>
                <w:kern w:val="0"/>
                <w:sz w:val="22"/>
                <w:szCs w:val="22"/>
                <w:lang w:val="lt-LT" w:eastAsia="lt-LT" w:bidi="ar-SA"/>
              </w:rPr>
              <w:t>Medžių karpymo žirklės:</w:t>
            </w:r>
          </w:p>
        </w:tc>
        <w:tc>
          <w:tcPr>
            <w:tcW w:w="2695" w:type="dxa"/>
            <w:tcBorders/>
          </w:tcPr>
          <w:p>
            <w:pPr>
              <w:pStyle w:val="Normal"/>
              <w:widowControl/>
              <w:spacing w:before="0" w:afterAutospacing="0" w:after="0"/>
              <w:ind w:hanging="0"/>
              <w:jc w:val="both"/>
              <w:textAlignment w:val="auto"/>
              <w:rPr>
                <w:rFonts w:ascii="Arial" w:hAnsi="Arial" w:cs="Arial"/>
                <w:b/>
                <w:bCs/>
                <w:lang w:eastAsia="lt-LT"/>
              </w:rPr>
            </w:pPr>
            <w:r>
              <w:rPr>
                <w:rFonts w:eastAsia="Calibri" w:cs="Arial" w:ascii="Arial" w:hAnsi="Arial"/>
                <w:b/>
                <w:bCs/>
                <w:kern w:val="0"/>
                <w:sz w:val="22"/>
                <w:szCs w:val="22"/>
                <w:lang w:val="en-GB" w:eastAsia="lt-LT"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 xml:space="preserve">  </w:t>
            </w:r>
            <w:r>
              <w:rPr>
                <w:rFonts w:eastAsia="Calibri" w:cs="Arial" w:ascii="Arial" w:hAnsi="Arial"/>
                <w:bCs/>
                <w:kern w:val="0"/>
                <w:sz w:val="22"/>
                <w:szCs w:val="22"/>
                <w:lang w:val="lt-LT" w:eastAsia="en-US" w:bidi="ar-SA"/>
              </w:rPr>
              <w:t>9.1.</w:t>
            </w:r>
          </w:p>
        </w:tc>
        <w:tc>
          <w:tcPr>
            <w:tcW w:w="6378"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t>medvežės gamintojas būtų arba pats pagaminęs, arba parinkęs ir gamykloje sumontavęs siūlomai medvežei tinkamas medžių karpymo žirkles;</w:t>
            </w:r>
          </w:p>
        </w:tc>
        <w:tc>
          <w:tcPr>
            <w:tcW w:w="2695"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9.2.</w:t>
            </w:r>
          </w:p>
        </w:tc>
        <w:tc>
          <w:tcPr>
            <w:tcW w:w="6378" w:type="dxa"/>
            <w:tcBorders/>
          </w:tcPr>
          <w:p>
            <w:pPr>
              <w:pStyle w:val="Normal"/>
              <w:widowControl/>
              <w:spacing w:before="0" w:afterAutospacing="0" w:after="0"/>
              <w:ind w:hanging="0"/>
              <w:jc w:val="both"/>
              <w:textAlignment w:val="auto"/>
              <w:rPr>
                <w:rFonts w:ascii="Arial" w:hAnsi="Arial" w:cs="Arial"/>
                <w:lang w:val="lt-LT" w:eastAsia="lt-LT"/>
              </w:rPr>
            </w:pPr>
            <w:r>
              <w:rPr>
                <w:rFonts w:eastAsia="Arial" w:cs="Arial" w:ascii="Arial" w:hAnsi="Arial"/>
                <w:color w:val="000000"/>
                <w:kern w:val="0"/>
                <w:sz w:val="22"/>
                <w:szCs w:val="22"/>
                <w:lang w:val="lt-LT" w:eastAsia="lt-LT" w:bidi="ar-SA"/>
              </w:rPr>
              <w:t xml:space="preserve">valdymas - hidraulinis, naudojant medvežės hidraulines jungtis arba naudojant hidraulines jungtis </w:t>
            </w:r>
            <w:r>
              <w:rPr>
                <w:rFonts w:eastAsia="Calibri" w:cs="Arial" w:ascii="Arial" w:hAnsi="Arial"/>
                <w:kern w:val="0"/>
                <w:sz w:val="22"/>
                <w:szCs w:val="22"/>
                <w:lang w:val="lt-LT" w:eastAsia="en-US" w:bidi="ar-SA"/>
              </w:rPr>
              <w:t>ir elektrinį valdymą;</w:t>
            </w:r>
          </w:p>
        </w:tc>
        <w:tc>
          <w:tcPr>
            <w:tcW w:w="2695" w:type="dxa"/>
            <w:tcBorders/>
          </w:tcPr>
          <w:p>
            <w:pPr>
              <w:pStyle w:val="Normal"/>
              <w:widowControl/>
              <w:spacing w:before="0" w:afterAutospacing="0" w:after="0"/>
              <w:ind w:hanging="0"/>
              <w:jc w:val="both"/>
              <w:textAlignment w:val="auto"/>
              <w:rPr>
                <w:rFonts w:ascii="Arial" w:hAnsi="Arial" w:eastAsia="Arial" w:cs="Arial"/>
                <w:color w:val="000000"/>
                <w:lang w:val="lt-LT" w:eastAsia="lt-LT"/>
              </w:rPr>
            </w:pPr>
            <w:r>
              <w:rPr>
                <w:rFonts w:eastAsia="Arial" w:cs="Arial" w:ascii="Arial" w:hAnsi="Arial"/>
                <w:color w:val="000000"/>
                <w:kern w:val="0"/>
                <w:sz w:val="22"/>
                <w:szCs w:val="22"/>
                <w:lang w:val="lt-LT" w:eastAsia="lt-LT"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9.3.</w:t>
            </w:r>
          </w:p>
        </w:tc>
        <w:tc>
          <w:tcPr>
            <w:tcW w:w="6378"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t>prie medvežės manipuliatoriaus montuojamos  varžtais ir/ar greitojo montavimo jungtimi;</w:t>
            </w:r>
          </w:p>
        </w:tc>
        <w:tc>
          <w:tcPr>
            <w:tcW w:w="2695" w:type="dxa"/>
            <w:tcBorders/>
          </w:tcPr>
          <w:p>
            <w:pPr>
              <w:pStyle w:val="Normal"/>
              <w:widowControl/>
              <w:spacing w:before="0" w:afterAutospacing="0" w:after="0"/>
              <w:ind w:hanging="0"/>
              <w:jc w:val="both"/>
              <w:textAlignment w:val="auto"/>
              <w:rPr>
                <w:rFonts w:ascii="Arial" w:hAnsi="Arial" w:cs="Arial"/>
                <w:lang w:val="pt-BR" w:eastAsia="lt-LT"/>
              </w:rPr>
            </w:pPr>
            <w:r>
              <w:rPr>
                <w:rFonts w:eastAsia="Calibri" w:cs="Arial" w:ascii="Arial" w:hAnsi="Arial"/>
                <w:kern w:val="0"/>
                <w:sz w:val="22"/>
                <w:szCs w:val="22"/>
                <w:lang w:val="pt-BR" w:eastAsia="lt-LT"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9.4.</w:t>
            </w:r>
          </w:p>
        </w:tc>
        <w:tc>
          <w:tcPr>
            <w:tcW w:w="6378"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t>ne mažiau 1 pora griebtuvų (žnyplių) ir ne mažiau 1 vnt. judantis/nejudantis peilis;</w:t>
            </w:r>
          </w:p>
        </w:tc>
        <w:tc>
          <w:tcPr>
            <w:tcW w:w="2695" w:type="dxa"/>
            <w:tcBorders/>
          </w:tcPr>
          <w:p>
            <w:pPr>
              <w:pStyle w:val="Normal"/>
              <w:widowControl/>
              <w:spacing w:before="0" w:afterAutospacing="0" w:after="0"/>
              <w:ind w:hanging="0"/>
              <w:jc w:val="both"/>
              <w:textAlignment w:val="auto"/>
              <w:rPr>
                <w:rFonts w:ascii="Arial" w:hAnsi="Arial" w:cs="Arial"/>
                <w:lang w:val="pt-BR" w:eastAsia="lt-LT"/>
              </w:rPr>
            </w:pPr>
            <w:r>
              <w:rPr>
                <w:rFonts w:eastAsia="Calibri" w:cs="Arial" w:ascii="Arial" w:hAnsi="Arial"/>
                <w:kern w:val="0"/>
                <w:sz w:val="22"/>
                <w:szCs w:val="22"/>
                <w:lang w:val="pt-BR" w:eastAsia="lt-LT"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9.5.</w:t>
            </w:r>
          </w:p>
        </w:tc>
        <w:tc>
          <w:tcPr>
            <w:tcW w:w="6378"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t>peilis/peiliai pagaminti iš trinčiai atsparaus plieno, kurio klasė ne mažesnė kaip 500</w:t>
            </w:r>
          </w:p>
        </w:tc>
        <w:tc>
          <w:tcPr>
            <w:tcW w:w="2695"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9.6.</w:t>
            </w:r>
          </w:p>
        </w:tc>
        <w:tc>
          <w:tcPr>
            <w:tcW w:w="6378" w:type="dxa"/>
            <w:tcBorders/>
            <w:vAlign w:val="center"/>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en-US" w:bidi="ar-SA"/>
              </w:rPr>
              <w:t>atstumas tarp atidarytų griebtuvų (žnyplių) galų ne mažiau 760 mm</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9.7.</w:t>
            </w:r>
          </w:p>
        </w:tc>
        <w:tc>
          <w:tcPr>
            <w:tcW w:w="6378"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t xml:space="preserve">maksimalus kertamo medžio (išskyrus kietuosius lapuočius) priekelminės dalies diametras ne mažiau 150 mm; </w:t>
            </w:r>
          </w:p>
        </w:tc>
        <w:tc>
          <w:tcPr>
            <w:tcW w:w="2695"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9.8.</w:t>
            </w:r>
          </w:p>
        </w:tc>
        <w:tc>
          <w:tcPr>
            <w:tcW w:w="6378"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t>svoris ne mažiau 180 ir ne daugiau 210 kg (be rotatoriaus);</w:t>
            </w:r>
          </w:p>
        </w:tc>
        <w:tc>
          <w:tcPr>
            <w:tcW w:w="2695" w:type="dxa"/>
            <w:tcBorders/>
          </w:tcPr>
          <w:p>
            <w:pPr>
              <w:pStyle w:val="Normal"/>
              <w:widowControl/>
              <w:spacing w:before="0" w:afterAutospacing="0" w:after="0"/>
              <w:ind w:hanging="0"/>
              <w:jc w:val="both"/>
              <w:textAlignment w:val="auto"/>
              <w:rPr>
                <w:rFonts w:ascii="Arial" w:hAnsi="Arial" w:cs="Arial"/>
                <w:lang w:eastAsia="lt-LT"/>
              </w:rPr>
            </w:pPr>
            <w:r>
              <w:rPr>
                <w:rFonts w:eastAsia="Calibri" w:cs="Arial" w:ascii="Arial" w:hAnsi="Arial"/>
                <w:kern w:val="0"/>
                <w:sz w:val="22"/>
                <w:szCs w:val="22"/>
                <w:lang w:val="en-GB" w:eastAsia="lt-LT"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9.9.</w:t>
            </w:r>
          </w:p>
        </w:tc>
        <w:tc>
          <w:tcPr>
            <w:tcW w:w="6378"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en-US" w:bidi="ar-SA"/>
              </w:rPr>
              <w:t>darbinis slėgis ne mažiau 175 bar</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t>10.</w:t>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Elektros sistema ir apšvietimas:</w:t>
            </w:r>
          </w:p>
        </w:tc>
        <w:tc>
          <w:tcPr>
            <w:tcW w:w="2695" w:type="dxa"/>
            <w:tcBorders/>
          </w:tcPr>
          <w:p>
            <w:pPr>
              <w:pStyle w:val="Normal"/>
              <w:widowControl/>
              <w:spacing w:before="0" w:afterAutospacing="0" w:after="0"/>
              <w:ind w:hanging="0"/>
              <w:jc w:val="both"/>
              <w:textAlignment w:val="auto"/>
              <w:rPr>
                <w:rFonts w:ascii="Arial" w:hAnsi="Arial" w:eastAsia="Times New Roman" w:cs="Arial"/>
                <w:b/>
                <w:bCs/>
              </w:rPr>
            </w:pPr>
            <w:r>
              <w:rPr>
                <w:rFonts w:eastAsia="Times New Roman" w:cs="Arial" w:ascii="Arial" w:hAnsi="Arial"/>
                <w:b/>
                <w:bCs/>
                <w:kern w:val="0"/>
                <w:sz w:val="22"/>
                <w:szCs w:val="22"/>
                <w:lang w:val="en-GB"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 xml:space="preserve"> </w:t>
            </w:r>
            <w:r>
              <w:rPr>
                <w:rFonts w:eastAsia="Calibri" w:cs="Arial" w:ascii="Arial" w:hAnsi="Arial"/>
                <w:bCs/>
                <w:kern w:val="0"/>
                <w:sz w:val="22"/>
                <w:szCs w:val="22"/>
                <w:lang w:val="lt-LT" w:eastAsia="en-US" w:bidi="ar-SA"/>
              </w:rPr>
              <w:t>10.1.</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naudojama įtampa – 12 V;</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 xml:space="preserve"> </w:t>
            </w:r>
            <w:r>
              <w:rPr>
                <w:rFonts w:eastAsia="Calibri" w:cs="Arial" w:ascii="Arial" w:hAnsi="Arial"/>
                <w:bCs/>
                <w:kern w:val="0"/>
                <w:sz w:val="22"/>
                <w:szCs w:val="22"/>
                <w:lang w:val="lt-LT" w:eastAsia="en-US" w:bidi="ar-SA"/>
              </w:rPr>
              <w:t>10.2.</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masės jungėjas;</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 xml:space="preserve"> </w:t>
            </w:r>
            <w:r>
              <w:rPr>
                <w:rFonts w:eastAsia="Calibri" w:cs="Arial" w:ascii="Arial" w:hAnsi="Arial"/>
                <w:bCs/>
                <w:kern w:val="0"/>
                <w:sz w:val="22"/>
                <w:szCs w:val="22"/>
                <w:lang w:val="lt-LT" w:eastAsia="en-US" w:bidi="ar-SA"/>
              </w:rPr>
              <w:t>10.3.</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šviesos signalų sistema, pritaikyta eismui bendro naudojimo keliais;</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 xml:space="preserve"> </w:t>
            </w:r>
            <w:r>
              <w:rPr>
                <w:rFonts w:eastAsia="Calibri" w:cs="Arial" w:ascii="Arial" w:hAnsi="Arial"/>
                <w:bCs/>
                <w:kern w:val="0"/>
                <w:sz w:val="22"/>
                <w:szCs w:val="22"/>
                <w:lang w:val="lt-LT" w:eastAsia="en-US" w:bidi="ar-SA"/>
              </w:rPr>
              <w:t>10.4.</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LED arba lygiaverčiai pagal šviesos srauto, šviesos spalvos, šviesos srauto/energijos sąnaudų ir žibintų ilgaamžiškumo parametrus, darbo teritorijos apšvietimo žibintai ant kabinos – ne mažiau 12 vnt.;</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 xml:space="preserve"> </w:t>
            </w:r>
            <w:r>
              <w:rPr>
                <w:rFonts w:eastAsia="Calibri" w:cs="Arial" w:ascii="Arial" w:hAnsi="Arial"/>
                <w:bCs/>
                <w:kern w:val="0"/>
                <w:sz w:val="22"/>
                <w:szCs w:val="22"/>
                <w:lang w:val="lt-LT" w:eastAsia="en-US" w:bidi="ar-SA"/>
              </w:rPr>
              <w:t>10.5.</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LED arba lygiaverčiai pagal šviesos srauto, šviesos spalvos, šviesos srauto/energijos sąnaudų ir žibintų ilgaamžiškumo parametrus, apšvietimo žibintai ant manipuliatoriaus – ne mažiau 2 vnt.;</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10.6.</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apsauginė ir garsinė signalizacija, atitinkanti Kasko draudimo reikalavimus.</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t>11.</w:t>
            </w:r>
          </w:p>
        </w:tc>
        <w:tc>
          <w:tcPr>
            <w:tcW w:w="6378"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b/>
                <w:lang w:val="lt-LT"/>
              </w:rPr>
            </w:pPr>
            <w:r>
              <w:rPr>
                <w:rFonts w:eastAsia="Calibri" w:cs="Arial" w:ascii="Arial" w:hAnsi="Arial"/>
                <w:b/>
                <w:kern w:val="0"/>
                <w:sz w:val="22"/>
                <w:szCs w:val="22"/>
                <w:lang w:val="lt-LT" w:eastAsia="en-US" w:bidi="ar-SA"/>
              </w:rPr>
              <w:t>Valdymo ir informacijos sistemos:</w:t>
            </w:r>
          </w:p>
        </w:tc>
        <w:tc>
          <w:tcPr>
            <w:tcW w:w="2695"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b/>
              </w:rPr>
            </w:pPr>
            <w:r>
              <w:rPr>
                <w:rFonts w:eastAsia="Calibri" w:cs="Arial" w:ascii="Arial" w:hAnsi="Arial"/>
                <w:b/>
                <w:kern w:val="0"/>
                <w:sz w:val="22"/>
                <w:szCs w:val="22"/>
                <w:lang w:val="en-GB"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11.1.</w:t>
            </w:r>
          </w:p>
        </w:tc>
        <w:tc>
          <w:tcPr>
            <w:tcW w:w="6378" w:type="dxa"/>
            <w:tcBorders/>
          </w:tcPr>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t>kompiuterinis manipuliatoriaus funkcijų nustatymas;</w:t>
            </w:r>
          </w:p>
        </w:tc>
        <w:tc>
          <w:tcPr>
            <w:tcW w:w="2695" w:type="dxa"/>
            <w:tcBorders/>
          </w:tcPr>
          <w:p>
            <w:pPr>
              <w:pStyle w:val="Normal"/>
              <w:widowControl/>
              <w:spacing w:before="0" w:afterAutospacing="0" w:after="0"/>
              <w:ind w:hanging="0"/>
              <w:jc w:val="both"/>
              <w:textAlignment w:val="auto"/>
              <w:rPr>
                <w:rFonts w:ascii="Arial" w:hAnsi="Arial" w:cs="Arial"/>
                <w:bCs/>
              </w:rPr>
            </w:pPr>
            <w:r>
              <w:rPr>
                <w:rFonts w:eastAsia="Calibri" w:cs="Arial" w:ascii="Arial" w:hAnsi="Arial"/>
                <w:bCs/>
                <w:kern w:val="0"/>
                <w:sz w:val="22"/>
                <w:szCs w:val="22"/>
                <w:lang w:val="en-GB"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11.2.</w:t>
            </w:r>
          </w:p>
        </w:tc>
        <w:tc>
          <w:tcPr>
            <w:tcW w:w="6378" w:type="dxa"/>
            <w:tcBorders/>
          </w:tcPr>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t>kompiuterinė transmisijos ir variklio darbo parametrų kontrolė;</w:t>
            </w:r>
          </w:p>
        </w:tc>
        <w:tc>
          <w:tcPr>
            <w:tcW w:w="2695" w:type="dxa"/>
            <w:tcBorders/>
          </w:tcPr>
          <w:p>
            <w:pPr>
              <w:pStyle w:val="Normal"/>
              <w:widowControl/>
              <w:spacing w:before="0" w:afterAutospacing="0" w:after="0"/>
              <w:ind w:hanging="0"/>
              <w:jc w:val="both"/>
              <w:textAlignment w:val="auto"/>
              <w:rPr>
                <w:rFonts w:ascii="Arial" w:hAnsi="Arial" w:cs="Arial"/>
                <w:bCs/>
                <w:lang w:val="pt-BR"/>
              </w:rPr>
            </w:pPr>
            <w:r>
              <w:rPr>
                <w:rFonts w:eastAsia="Calibri" w:cs="Arial" w:ascii="Arial" w:hAnsi="Arial"/>
                <w:bCs/>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11.3.</w:t>
            </w:r>
          </w:p>
        </w:tc>
        <w:tc>
          <w:tcPr>
            <w:tcW w:w="6378" w:type="dxa"/>
            <w:tcBorders/>
          </w:tcPr>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t>kompiuterinė eksploatacijos, gedimų nustatymo ir informavimo sistema;</w:t>
            </w:r>
          </w:p>
        </w:tc>
        <w:tc>
          <w:tcPr>
            <w:tcW w:w="2695" w:type="dxa"/>
            <w:tcBorders/>
          </w:tcPr>
          <w:p>
            <w:pPr>
              <w:pStyle w:val="Normal"/>
              <w:widowControl/>
              <w:spacing w:before="0" w:afterAutospacing="0" w:after="0"/>
              <w:ind w:hanging="0"/>
              <w:jc w:val="both"/>
              <w:textAlignment w:val="auto"/>
              <w:rPr>
                <w:rFonts w:ascii="Arial" w:hAnsi="Arial" w:cs="Arial"/>
                <w:bCs/>
                <w:lang w:val="pt-BR"/>
              </w:rPr>
            </w:pPr>
            <w:r>
              <w:rPr>
                <w:rFonts w:eastAsia="Calibri" w:cs="Arial" w:ascii="Arial" w:hAnsi="Arial"/>
                <w:bCs/>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11.4.</w:t>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medvežės gamintojo gamykloje sumontuota, integruota darbo duomenų perdavimo realiu laiku nuotolinio ryšio priemonėmis sistema (toliau – medvežės darbo duomenų sistema), kuri kaupia, leidžia prisijungti nuotoliniu būdu ir stebėti medvežės darbo duomenis:</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 xml:space="preserve">11.4.1. medvežės buvimo vietą ir judėjimą žemėlapyje; </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11.4.2. užtikrina galimybę nuotoliniu būdu įkelti biržės brėžinį į medvežės darbo duomenų sistemą, kad pagal brėžinį operatorius galėtų orientuotis darbo metu natūroje;</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11.4.3. medvežės variklio būsenas (užvesta, neužvesta, kiek laiko dirba);</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11.4.4. vykdomų operacijų greitį,  medvežės atliktų  pasikrovimų, vykdytų važiavimų (reisų) skaičių fiksuojant laiką;</w:t>
            </w:r>
          </w:p>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lt-LT" w:eastAsia="en-US" w:bidi="ar-SA"/>
              </w:rPr>
              <w:t>11.4.</w:t>
            </w:r>
            <w:r>
              <w:rPr>
                <w:rFonts w:eastAsia="Times New Roman" w:cs="Arial" w:ascii="Arial" w:hAnsi="Arial"/>
                <w:kern w:val="0"/>
                <w:sz w:val="22"/>
                <w:szCs w:val="22"/>
                <w:lang w:val="pt-BR" w:eastAsia="en-US" w:bidi="ar-SA"/>
              </w:rPr>
              <w:t>5. duomenis apie degalų kiekį bake ir  sunaudotus degalus;</w:t>
            </w:r>
          </w:p>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lt-LT" w:eastAsia="en-US" w:bidi="ar-SA"/>
              </w:rPr>
              <w:t>11.4.</w:t>
            </w:r>
            <w:r>
              <w:rPr>
                <w:rFonts w:eastAsia="Times New Roman" w:cs="Arial" w:ascii="Arial" w:hAnsi="Arial"/>
                <w:kern w:val="0"/>
                <w:sz w:val="22"/>
                <w:szCs w:val="22"/>
                <w:lang w:val="pt-BR" w:eastAsia="en-US" w:bidi="ar-SA"/>
              </w:rPr>
              <w:t>6. užtikrina operatoriaus autorizavimą;</w:t>
            </w:r>
          </w:p>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lt-LT" w:eastAsia="en-US" w:bidi="ar-SA"/>
              </w:rPr>
              <w:t>11.4.</w:t>
            </w:r>
            <w:r>
              <w:rPr>
                <w:rFonts w:eastAsia="Times New Roman" w:cs="Arial" w:ascii="Arial" w:hAnsi="Arial"/>
                <w:kern w:val="0"/>
                <w:sz w:val="22"/>
                <w:szCs w:val="22"/>
                <w:lang w:val="pt-BR" w:eastAsia="en-US" w:bidi="ar-SA"/>
              </w:rPr>
              <w:t>7. duomenis saugo  1 metus.</w:t>
            </w:r>
          </w:p>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lt-LT" w:eastAsia="en-US" w:bidi="ar-SA"/>
              </w:rPr>
              <w:t>11.4.8</w:t>
            </w:r>
            <w:r>
              <w:rPr>
                <w:rFonts w:eastAsia="Times New Roman" w:cs="Arial" w:ascii="Arial" w:hAnsi="Arial"/>
                <w:kern w:val="0"/>
                <w:sz w:val="22"/>
                <w:szCs w:val="22"/>
                <w:lang w:val="pt-BR" w:eastAsia="en-US" w:bidi="ar-SA"/>
              </w:rPr>
              <w:t xml:space="preserve">. diskas, kuriame būtų kaupiami duomenys, turi būti šifruojamas arba sudaroma Užsakovui galimybė pačiam šifruoti diską. </w:t>
            </w:r>
          </w:p>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lt-LT" w:eastAsia="en-US" w:bidi="ar-SA"/>
              </w:rPr>
              <w:t>11.4.</w:t>
            </w:r>
            <w:r>
              <w:rPr>
                <w:rFonts w:eastAsia="Times New Roman" w:cs="Arial" w:ascii="Arial" w:hAnsi="Arial"/>
                <w:kern w:val="0"/>
                <w:sz w:val="22"/>
                <w:szCs w:val="22"/>
                <w:lang w:val="pt-BR" w:eastAsia="en-US" w:bidi="ar-SA"/>
              </w:rPr>
              <w:t>9. Kiti reikalavimai sistemai:</w:t>
            </w:r>
          </w:p>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lt-LT" w:eastAsia="en-US" w:bidi="ar-SA"/>
              </w:rPr>
              <w:t>11.4.</w:t>
            </w:r>
            <w:r>
              <w:rPr>
                <w:rFonts w:eastAsia="Times New Roman" w:cs="Arial" w:ascii="Arial" w:hAnsi="Arial"/>
                <w:kern w:val="0"/>
                <w:sz w:val="22"/>
                <w:szCs w:val="22"/>
                <w:lang w:val="pt-BR" w:eastAsia="en-US" w:bidi="ar-SA"/>
              </w:rPr>
              <w:t>9.1. medvežės duomenis gali matyti tik priskirti jai naudotojai.</w:t>
            </w:r>
          </w:p>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lt-LT" w:eastAsia="en-US" w:bidi="ar-SA"/>
              </w:rPr>
              <w:t>11.4.</w:t>
            </w:r>
            <w:r>
              <w:rPr>
                <w:rFonts w:eastAsia="Times New Roman" w:cs="Arial" w:ascii="Arial" w:hAnsi="Arial"/>
                <w:kern w:val="0"/>
                <w:sz w:val="22"/>
                <w:szCs w:val="22"/>
                <w:lang w:val="pt-BR" w:eastAsia="en-US" w:bidi="ar-SA"/>
              </w:rPr>
              <w:t>9.2. naudotojų skaičius neribojamas.</w:t>
            </w:r>
          </w:p>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lt-LT" w:eastAsia="en-US" w:bidi="ar-SA"/>
              </w:rPr>
              <w:t>11.4.</w:t>
            </w:r>
            <w:r>
              <w:rPr>
                <w:rFonts w:eastAsia="Times New Roman" w:cs="Arial" w:ascii="Arial" w:hAnsi="Arial"/>
                <w:kern w:val="0"/>
                <w:sz w:val="22"/>
                <w:szCs w:val="22"/>
                <w:lang w:val="pt-BR" w:eastAsia="en-US" w:bidi="ar-SA"/>
              </w:rPr>
              <w:t xml:space="preserve">9.3. jei nėra duomenų perdavimo ryšio, duomenys turi būti kaupiami lokaliai. Atsiradus ryšiui turi būti perduoti į nutolusią medvežės gamintojo darbų vykdymo informacinę sistemą. Tiekėjas užtikrina, kad nutolusi medvežės gamintojo darbų vykdymo informacinė sistema ir joje esančių duomenų atsarginės kopijos (jei taikoma) būtų saugomos Europos ekonominės erdvės valstybėje ir prieiga prie jos ar joje esančių duomenų, taip pat atsarginių kopijų (jei taikoma) būtų atliekama iš Europos ekonominės erdvės valstybės. </w:t>
            </w:r>
          </w:p>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lt-LT" w:eastAsia="en-US" w:bidi="ar-SA"/>
              </w:rPr>
              <w:t>11.4.</w:t>
            </w:r>
            <w:r>
              <w:rPr>
                <w:rFonts w:eastAsia="Times New Roman" w:cs="Arial" w:ascii="Arial" w:hAnsi="Arial"/>
                <w:kern w:val="0"/>
                <w:sz w:val="22"/>
                <w:szCs w:val="22"/>
                <w:lang w:val="pt-BR" w:eastAsia="en-US" w:bidi="ar-SA"/>
              </w:rPr>
              <w:t xml:space="preserve">9.4. Tiekėjas turi užtikrinti iš medvežės darbo duomenų sistemos duomenų perdavimą į nutolusią medvežės gamintojo darbų vykdymo informacinę sistemą, o perdavimo kainą įskaičiuoti į medvežės kainą. Duomenys turi būti perduodami saugiu ryšio kanalu. </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 xml:space="preserve">11.4.9.5. visi prisijungimai tiek į medvežės darbo duomenų sistemą, tiek į nutolusią medvežės gamintojo darbų vykdymo informacinę sistemą turi būti apsaugoti naudotojo vardu ir slaptažodžiu. Turi būti galimybė sukurti naudotojo vardą ir slaptažodį kiekvienam naudotojui atskirai (taikoma nutolusiai medvežės gamintojo darbų vykdymo informacinei sistemai, pagal technines galimybes taikoma medvežės darbo duomenų sistemai). Medvežės darbo duomenų sistemos aplikacijos lygmenyje turi būti atriboti naudotojai su skirtingomis prieigos teisėmis (pvz., operatorius, administratorius / serviso inžinierius). </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 xml:space="preserve">Slaptažodis turės atitikti šiuos reikalavimus: </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w:t>
            </w:r>
            <w:r>
              <w:rPr>
                <w:rFonts w:eastAsia="Times New Roman" w:cs="Arial" w:ascii="Arial" w:hAnsi="Arial"/>
                <w:kern w:val="0"/>
                <w:sz w:val="22"/>
                <w:szCs w:val="22"/>
                <w:lang w:val="lt-LT" w:eastAsia="en-US" w:bidi="ar-SA"/>
              </w:rPr>
              <w:tab/>
              <w:t xml:space="preserve">ne trumpesnis nei 14 simbolių, </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w:t>
            </w:r>
            <w:r>
              <w:rPr>
                <w:rFonts w:eastAsia="Times New Roman" w:cs="Arial" w:ascii="Arial" w:hAnsi="Arial"/>
                <w:kern w:val="0"/>
                <w:sz w:val="22"/>
                <w:szCs w:val="22"/>
                <w:lang w:val="lt-LT" w:eastAsia="en-US" w:bidi="ar-SA"/>
              </w:rPr>
              <w:tab/>
              <w:t>turintis ne mažiau kaip vieną skaičių;</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w:t>
            </w:r>
            <w:r>
              <w:rPr>
                <w:rFonts w:eastAsia="Times New Roman" w:cs="Arial" w:ascii="Arial" w:hAnsi="Arial"/>
                <w:kern w:val="0"/>
                <w:sz w:val="22"/>
                <w:szCs w:val="22"/>
                <w:lang w:val="lt-LT" w:eastAsia="en-US" w:bidi="ar-SA"/>
              </w:rPr>
              <w:tab/>
              <w:t>turintis ne mažiau kaip vieną didžiąją raidę;</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w:t>
            </w:r>
            <w:r>
              <w:rPr>
                <w:rFonts w:eastAsia="Times New Roman" w:cs="Arial" w:ascii="Arial" w:hAnsi="Arial"/>
                <w:kern w:val="0"/>
                <w:sz w:val="22"/>
                <w:szCs w:val="22"/>
                <w:lang w:val="lt-LT" w:eastAsia="en-US" w:bidi="ar-SA"/>
              </w:rPr>
              <w:tab/>
              <w:t>turintis ne mažiau kaip vieną mažąją raidę;</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w:t>
            </w:r>
            <w:r>
              <w:rPr>
                <w:rFonts w:eastAsia="Times New Roman" w:cs="Arial" w:ascii="Arial" w:hAnsi="Arial"/>
                <w:kern w:val="0"/>
                <w:sz w:val="22"/>
                <w:szCs w:val="22"/>
                <w:lang w:val="lt-LT" w:eastAsia="en-US" w:bidi="ar-SA"/>
              </w:rPr>
              <w:tab/>
              <w:t>turintis ne mažiau kaip vieną specialųjį simbolį.</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Galimi ir kiti sprendimai, užtikrinantys tokio pačio lygio (ar aukštesnio) prisijungimo prie nutolusios medvežės gamintojo darbų vykdymo informacinės sistemos saugumą.</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11.4.9.6. naudotojų ir administratorių veiksmai tiek jungiantis į medvežės darbo duomenų sistemą, tiek į nutolusią medvežės gamintojo darbų vykdymo informacinę sistemą turi būti fiksuojami žurnaliniuose įrašuose (angl. logs). Užsakovas turi turėti galimybę peržiūrėti ar gauti žurnalinius įrašus. Užsakovui raštu paprašius, Tiekėjas turi pateikti prašomo laikotarpio žurnalinius įrašus (jei pats Užsakovas negali jų išsiimti).</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 xml:space="preserve">11.4.9.7. pagal technines galimybes žurnaliniuose įrašuose kaupiama informacija apie atliktus naudotojų ir administratorių veiksmus (data, laikas, kada veiksmas atliktas, naudotojo / administratoriaus, kuris atlieka veiksmą, duomenys, prisijungimai ar nesėkmingi bandymai prisijungti, atsijungimai, kokie veiksmai atlikti), naudotojų ir administratorių paskyrų sukūrimus, prieigos teisių pakeitimus. </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11.4.9.8. Tiekėjas darbui su medvežės darbo duomenų sistema apmoko ne mažiau kaip 4 darbuotojus.</w:t>
            </w:r>
          </w:p>
        </w:tc>
        <w:tc>
          <w:tcPr>
            <w:tcW w:w="2695" w:type="dxa"/>
            <w:tcBorders/>
          </w:tcPr>
          <w:p>
            <w:pPr>
              <w:pStyle w:val="Normal"/>
              <w:widowControl/>
              <w:spacing w:before="0" w:afterAutospacing="0" w:after="0"/>
              <w:ind w:hanging="0"/>
              <w:jc w:val="both"/>
              <w:textAlignment w:val="auto"/>
              <w:rPr>
                <w:rFonts w:ascii="Arial" w:hAnsi="Arial" w:eastAsia="Times New Roman" w:cs="Arial"/>
                <w:bCs/>
                <w:lang w:val="lt-LT"/>
              </w:rPr>
            </w:pPr>
            <w:r>
              <w:rPr>
                <w:rFonts w:eastAsia="Times New Roman" w:cs="Arial" w:ascii="Arial" w:hAnsi="Arial"/>
                <w:bCs/>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jc w:val="both"/>
              <w:textAlignment w:val="auto"/>
              <w:outlineLvl w:val="0"/>
              <w:rPr>
                <w:rFonts w:ascii="Arial" w:hAnsi="Arial" w:eastAsia="Calibri" w:cs="Arial"/>
                <w:bCs/>
              </w:rPr>
            </w:pPr>
            <w:r>
              <w:rPr>
                <w:rFonts w:eastAsia="Calibri" w:cs="Arial" w:ascii="Arial" w:hAnsi="Arial"/>
                <w:bCs/>
                <w:kern w:val="0"/>
                <w:sz w:val="22"/>
                <w:szCs w:val="22"/>
                <w:lang w:val="lt-LT" w:eastAsia="en-US" w:bidi="ar-SA"/>
              </w:rPr>
              <w:t>11.5.</w:t>
            </w:r>
          </w:p>
        </w:tc>
        <w:tc>
          <w:tcPr>
            <w:tcW w:w="6378" w:type="dxa"/>
            <w:tcBorders/>
          </w:tcPr>
          <w:p>
            <w:pPr>
              <w:pStyle w:val="Normal"/>
              <w:widowControl/>
              <w:spacing w:before="0" w:afterAutospacing="0" w:after="0"/>
              <w:ind w:hanging="0"/>
              <w:jc w:val="both"/>
              <w:textAlignment w:val="auto"/>
              <w:rPr>
                <w:rFonts w:ascii="Arial" w:hAnsi="Arial" w:cs="Arial"/>
              </w:rPr>
            </w:pPr>
            <w:r>
              <w:rPr>
                <w:rFonts w:eastAsia="Calibri" w:cs="" w:ascii="Arial" w:hAnsi="Arial"/>
                <w:kern w:val="0"/>
                <w:sz w:val="22"/>
                <w:szCs w:val="22"/>
                <w:lang w:val="lt-LT" w:eastAsia="en-US" w:bidi="ar-SA"/>
              </w:rPr>
              <w:t>turi būti sumontuota transporto kontrolės ir degalų elektroninės apskaitos įranga, veikianti GSM/GPS principu ir perduodanti borto kompiuterio davinius į Užsakovo naudojamus serverius. Suderinimas ir prijungimas prie transporto kontrolės sistemos, naudojamos Užsakovo telemetrinės įrangos, GPS/GSM pagrindu – Vykdytojo sąskaita, iki prekės perdavimo Užsakovui dienos. Užsakovui telemetrinės kontrolės paslaugas teikia UAB „XIRGO GLOBAL“.</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jc w:val="both"/>
              <w:textAlignment w:val="auto"/>
              <w:outlineLvl w:val="0"/>
              <w:rPr>
                <w:rFonts w:ascii="Arial" w:hAnsi="Arial" w:eastAsia="Calibri" w:cs="Arial"/>
                <w:bCs/>
              </w:rPr>
            </w:pPr>
            <w:r>
              <w:rPr>
                <w:rFonts w:eastAsia="Calibri" w:cs="Arial" w:ascii="Arial" w:hAnsi="Arial"/>
                <w:bCs/>
                <w:kern w:val="0"/>
                <w:sz w:val="22"/>
                <w:szCs w:val="22"/>
                <w:lang w:val="lt-LT" w:eastAsia="en-US" w:bidi="ar-SA"/>
              </w:rPr>
              <w:t>11.6.</w:t>
            </w:r>
          </w:p>
        </w:tc>
        <w:tc>
          <w:tcPr>
            <w:tcW w:w="6378"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t>turi būti sumontuotas kompiuteris su programine įranga, atitinkantys šiuos reikalavimus:</w:t>
            </w:r>
          </w:p>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t>kompiuterio operacinė sistema (OS) – MS Windows 10 arba naujesnė;</w:t>
            </w:r>
          </w:p>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t>kompiuterio programinė įranga lietuvių kalba;</w:t>
            </w:r>
          </w:p>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t>kompiuterio operatyvinė atmintis (RAM) – ne mažiau 4 GB;</w:t>
            </w:r>
          </w:p>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t>galimybė instaliuoti 3-ių šalių programas;</w:t>
            </w:r>
          </w:p>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t>kompiuterio kietasis diskas – turi būti ne mažiau kaip 40 GB laisvos vietos 3-ių šalių programoms instaliuoti;</w:t>
            </w:r>
          </w:p>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t>kompiuterio procesorius (CPU) – kelių branduolių, dažnis ne mažesnis nei 1,6 GHz;</w:t>
            </w:r>
          </w:p>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t>kompiuterio prievadai (ports) – ne mažiau 2xUSB (iš kurių ne mažiau kaip vienas – gerai matomoje ir lengvai prieinamoje vietoje), 1xRJ45;</w:t>
            </w:r>
          </w:p>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t>kompiuterio monitorius – raiška ne mažiau kaip 1024x768 taškų;</w:t>
            </w:r>
          </w:p>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t>elektroninis paštas – turi būti galimybė siųsti el. laiškus naudojantis atskira arba naršyklės (web browser) bazėje veikiančia el. pašto programa;</w:t>
            </w:r>
          </w:p>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t>Reikalavimai ryšiui: 3G arba geresnis, greitis ne mažiau nei 10 Mbps.</w:t>
            </w:r>
          </w:p>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t>PASTABA. Ryšio paslaugų pirkimas neįeina į šio pirkimo apimtį. Pastovus ryšys nėra būtinas – duomenys siunčiami patekus į tinkamo ryšio zoną.</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11.7.</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 w:ascii="Arial" w:hAnsi="Arial"/>
                <w:kern w:val="0"/>
                <w:sz w:val="22"/>
                <w:szCs w:val="22"/>
                <w:lang w:val="en-GB" w:eastAsia="en-US" w:bidi="ar-SA"/>
              </w:rPr>
              <w:t>StanForD 2010 standarto palaikymas</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11.8.</w:t>
            </w:r>
          </w:p>
        </w:tc>
        <w:tc>
          <w:tcPr>
            <w:tcW w:w="6378" w:type="dxa"/>
            <w:tcBorders/>
          </w:tcPr>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t>tiekėjas darbui su sistema apmoko ne mažiau kaip 4 darbuotojus.</w:t>
            </w:r>
          </w:p>
        </w:tc>
        <w:tc>
          <w:tcPr>
            <w:tcW w:w="2695" w:type="dxa"/>
            <w:tcBorders/>
          </w:tcPr>
          <w:p>
            <w:pPr>
              <w:pStyle w:val="Normal"/>
              <w:widowControl/>
              <w:spacing w:before="0" w:afterAutospacing="0" w:after="0"/>
              <w:ind w:hanging="0"/>
              <w:jc w:val="both"/>
              <w:textAlignment w:val="auto"/>
              <w:rPr>
                <w:rFonts w:ascii="Arial" w:hAnsi="Arial" w:cs="Arial"/>
                <w:bCs/>
                <w:lang w:val="pt-BR"/>
              </w:rPr>
            </w:pPr>
            <w:r>
              <w:rPr>
                <w:rFonts w:eastAsia="Calibri" w:cs="Arial" w:ascii="Arial" w:hAnsi="Arial"/>
                <w:bCs/>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t>12.</w:t>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Kiti techniniai reikalavimai:</w:t>
            </w:r>
          </w:p>
        </w:tc>
        <w:tc>
          <w:tcPr>
            <w:tcW w:w="2695" w:type="dxa"/>
            <w:tcBorders/>
          </w:tcPr>
          <w:p>
            <w:pPr>
              <w:pStyle w:val="Normal"/>
              <w:widowControl/>
              <w:spacing w:before="0" w:afterAutospacing="0" w:after="0"/>
              <w:ind w:hanging="0"/>
              <w:jc w:val="both"/>
              <w:textAlignment w:val="auto"/>
              <w:rPr>
                <w:rFonts w:ascii="Arial" w:hAnsi="Arial" w:eastAsia="Times New Roman" w:cs="Arial"/>
                <w:b/>
                <w:bCs/>
              </w:rPr>
            </w:pPr>
            <w:r>
              <w:rPr>
                <w:rFonts w:eastAsia="Times New Roman" w:cs="Arial" w:ascii="Arial" w:hAnsi="Arial"/>
                <w:b/>
                <w:bCs/>
                <w:kern w:val="0"/>
                <w:sz w:val="22"/>
                <w:szCs w:val="22"/>
                <w:lang w:val="en-GB" w:eastAsia="en-US" w:bidi="ar-SA"/>
              </w:rPr>
            </w:r>
          </w:p>
        </w:tc>
      </w:tr>
      <w:tr>
        <w:trPr>
          <w:trHeight w:val="78" w:hRule="atLeast"/>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12.1.</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 xml:space="preserve">medvežės valdymas vairu ir/arba minisvirtimis; </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12.2.</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manipuliatoriaus valdymas minisvirtimis, galimybė keisti manipuliatoriaus valdymo greitį bei jautrumą;</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12.3.</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važiavimo „pirmyn – atgal“ greito perjungimo funkcija;</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12.4.</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autonominis, elektra veikiantis dyzelino užpylimo siurblys su „Stop“ funkcija;</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12.5.</w:t>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degalų bako talpa – ne mažiau 70 l;</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12.6.</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automatinė gaisro gesinimo sistema;</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12.7.</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milteliniai rankiniai gesintuvai su patikra – 2 vnt. X 6 kg;</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rHeight w:val="831" w:hRule="atLeast"/>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12.8.</w:t>
            </w:r>
          </w:p>
        </w:tc>
        <w:tc>
          <w:tcPr>
            <w:tcW w:w="6378" w:type="dxa"/>
            <w:tcBorders/>
          </w:tcPr>
          <w:p>
            <w:pPr>
              <w:pStyle w:val="Normal"/>
              <w:widowControl/>
              <w:spacing w:before="0" w:afterAutospacing="0" w:after="0"/>
              <w:ind w:hanging="0"/>
              <w:jc w:val="both"/>
              <w:textAlignment w:val="auto"/>
              <w:rPr>
                <w:rFonts w:ascii="Arial" w:hAnsi="Arial" w:cs="Arial"/>
                <w:highlight w:val="yellow"/>
                <w:lang w:val="lt-LT"/>
              </w:rPr>
            </w:pPr>
            <w:r>
              <w:rPr>
                <w:rFonts w:eastAsia="Calibri" w:cs="Arial" w:ascii="Arial" w:hAnsi="Arial"/>
                <w:kern w:val="0"/>
                <w:sz w:val="22"/>
                <w:szCs w:val="22"/>
                <w:lang w:val="lt-LT" w:eastAsia="en-US" w:bidi="ar-SA"/>
              </w:rPr>
              <w:t>pagal siūlomų padangų išmatavimus tinkančių universalaus naudojimo vikšrų, sujungtų su ne mažesniais kaip 20 mm nareliais, kurių vieno horizontalaus segmento plotis yra nuo 120 iki 150 mm, komplektas 1 poros – 2 vnt.), skirtas vienai medvežei,  ir 2 sujungimo raktai su įtempėju;</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rHeight w:val="831" w:hRule="atLeast"/>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12.9.</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gamykliškai arba papildomai, neprarandant garantijos, sumontuotas oro kompresorius su ne mažesniu kaip 4 l ne mažesnio kaip 75 l/min našumo ir  ne mažesnio kaip 5,0 bar. darbinio slėgio. Kompresorius turi būti sumontuotas medvežėje;</w:t>
            </w:r>
          </w:p>
        </w:tc>
        <w:tc>
          <w:tcPr>
            <w:tcW w:w="2695" w:type="dxa"/>
            <w:tcBorders/>
          </w:tcPr>
          <w:p>
            <w:pPr>
              <w:pStyle w:val="Normal"/>
              <w:widowControl/>
              <w:spacing w:before="0" w:afterAutospacing="0" w:after="0"/>
              <w:ind w:hanging="0"/>
              <w:jc w:val="both"/>
              <w:textAlignment w:val="auto"/>
              <w:rPr>
                <w:rFonts w:ascii="Arial" w:hAnsi="Arial" w:cs="Arial"/>
              </w:rPr>
            </w:pPr>
            <w:r>
              <w:rPr>
                <w:rFonts w:eastAsia="Calibri" w:cs="Arial" w:ascii="Arial" w:hAnsi="Arial"/>
                <w:kern w:val="0"/>
                <w:sz w:val="22"/>
                <w:szCs w:val="22"/>
                <w:lang w:val="en-GB"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12.10.</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 xml:space="preserve">įrankiai kasdieniniai </w:t>
            </w:r>
            <w:r>
              <w:rPr>
                <w:rFonts w:eastAsia="Calibri" w:cs="Arial" w:ascii="Arial" w:hAnsi="Arial"/>
                <w:bCs/>
                <w:kern w:val="0"/>
                <w:sz w:val="22"/>
                <w:szCs w:val="22"/>
                <w:lang w:val="lt-LT" w:eastAsia="en-US" w:bidi="ar-SA"/>
              </w:rPr>
              <w:t>medvežės</w:t>
            </w:r>
            <w:r>
              <w:rPr>
                <w:rFonts w:eastAsia="Calibri" w:cs="Arial" w:ascii="Arial" w:hAnsi="Arial"/>
                <w:kern w:val="0"/>
                <w:sz w:val="22"/>
                <w:szCs w:val="22"/>
                <w:lang w:val="lt-LT" w:eastAsia="en-US" w:bidi="ar-SA"/>
              </w:rPr>
              <w:t xml:space="preserve"> priežiūrai, remontui ir techniniam aptarnavimui;</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12.11.</w:t>
            </w:r>
          </w:p>
        </w:tc>
        <w:tc>
          <w:tcPr>
            <w:tcW w:w="6378" w:type="dxa"/>
            <w:tcBorders/>
          </w:tcPr>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t>visos medvežės sistemos ir agregatai, važiuojant ar dirbant stovėjimo rėžime, turi likti darbingos būklės oro temperatūros intervale nuo -30°C iki +40°C;</w:t>
            </w:r>
          </w:p>
        </w:tc>
        <w:tc>
          <w:tcPr>
            <w:tcW w:w="2695" w:type="dxa"/>
            <w:tcBorders/>
          </w:tcPr>
          <w:p>
            <w:pPr>
              <w:pStyle w:val="Normal"/>
              <w:widowControl/>
              <w:spacing w:before="0" w:afterAutospacing="0" w:after="0"/>
              <w:ind w:hanging="0"/>
              <w:jc w:val="both"/>
              <w:textAlignment w:val="auto"/>
              <w:rPr>
                <w:rFonts w:ascii="Arial" w:hAnsi="Arial" w:cs="Arial"/>
                <w:bCs/>
                <w:lang w:val="pt-BR"/>
              </w:rPr>
            </w:pPr>
            <w:r>
              <w:rPr>
                <w:rFonts w:eastAsia="Calibri" w:cs="Arial" w:ascii="Arial" w:hAnsi="Arial"/>
                <w:bCs/>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12.12.</w:t>
            </w:r>
          </w:p>
        </w:tc>
        <w:tc>
          <w:tcPr>
            <w:tcW w:w="6378"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medvežė privalo būti sukomplektuotos taip, kad jas, be papildomų priemonių  būtų galima eksploatuoti Lietuvos Respublikoje. Kartu su medveže turi būti pateikiamas teisės aktų reikalavimus atitinkantis pirmosios pagalbos rinkinys (vaistinėlė), avarinio sustojimo ženklas ir liemenė su šviesą atspindinčiais elementais;</w:t>
            </w:r>
          </w:p>
        </w:tc>
        <w:tc>
          <w:tcPr>
            <w:tcW w:w="2695"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12.13.</w:t>
            </w:r>
          </w:p>
        </w:tc>
        <w:tc>
          <w:tcPr>
            <w:tcW w:w="6378"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t>medvežės</w:t>
            </w:r>
            <w:r>
              <w:rPr>
                <w:rFonts w:eastAsia="Calibri" w:cs="Arial" w:ascii="Arial" w:hAnsi="Arial"/>
                <w:b/>
                <w:bCs/>
                <w:kern w:val="0"/>
                <w:sz w:val="22"/>
                <w:szCs w:val="22"/>
                <w:lang w:val="lt-LT" w:eastAsia="en-US" w:bidi="ar-SA"/>
              </w:rPr>
              <w:t xml:space="preserve"> </w:t>
            </w:r>
            <w:r>
              <w:rPr>
                <w:rFonts w:eastAsia="Calibri" w:cs="Arial" w:ascii="Arial" w:hAnsi="Arial"/>
                <w:kern w:val="0"/>
                <w:sz w:val="22"/>
                <w:szCs w:val="22"/>
                <w:lang w:val="lt-LT" w:eastAsia="en-US" w:bidi="ar-SA"/>
              </w:rPr>
              <w:t>eksploatavimui reikalingų skysčių (išskyrus dyzeliną) talpyklos privalo būti užpildytos iki maksimalaus lygio</w:t>
            </w:r>
            <w:r>
              <w:rPr>
                <w:rFonts w:eastAsia="Calibri" w:cs="Arial" w:ascii="Arial" w:hAnsi="Arial"/>
                <w:kern w:val="0"/>
                <w:sz w:val="22"/>
                <w:szCs w:val="22"/>
                <w:lang w:val="lt-LT" w:eastAsia="ar-SA" w:bidi="ar-SA"/>
              </w:rPr>
              <w:t>;</w:t>
            </w:r>
          </w:p>
        </w:tc>
        <w:tc>
          <w:tcPr>
            <w:tcW w:w="2695"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r>
          </w:p>
        </w:tc>
      </w:tr>
      <w:tr>
        <w:trPr>
          <w:trHeight w:val="974" w:hRule="atLeast"/>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12.14.</w:t>
            </w:r>
          </w:p>
        </w:tc>
        <w:tc>
          <w:tcPr>
            <w:tcW w:w="6378"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t>pagal siūlomų padangų išmatavimus tinkančių priešslydimo grandinių, kurių narelio metalo skersmuo ne mažesnis kaip 11 mm (skirtų tik miško technikai esant ypač didelėms apkrovoms ir sudėtingam pravažiavimu), pora, skirta vienai medvežei,</w:t>
            </w:r>
            <w:r>
              <w:rPr>
                <w:rFonts w:eastAsia="Calibri" w:cs="Arial" w:ascii="Arial" w:hAnsi="Arial"/>
                <w:bCs/>
                <w:color w:val="000000"/>
                <w:kern w:val="0"/>
                <w:sz w:val="22"/>
                <w:szCs w:val="22"/>
                <w:lang w:val="lt-LT" w:eastAsia="en-US" w:bidi="ar-SA"/>
              </w:rPr>
              <w:t xml:space="preserve"> su montavimo raktu</w:t>
            </w:r>
            <w:r>
              <w:rPr>
                <w:rFonts w:eastAsia="Calibri" w:cs="Arial" w:ascii="Arial" w:hAnsi="Arial"/>
                <w:bCs/>
                <w:kern w:val="0"/>
                <w:sz w:val="22"/>
                <w:szCs w:val="22"/>
                <w:lang w:val="lt-LT" w:eastAsia="en-US" w:bidi="ar-SA"/>
              </w:rPr>
              <w:t>;</w:t>
            </w:r>
          </w:p>
        </w:tc>
        <w:tc>
          <w:tcPr>
            <w:tcW w:w="2695"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t>13.</w:t>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Priekabos išmatavimai, svoriai, gabaritai ir kiti  parametrai bei reikalavimai:</w:t>
            </w:r>
          </w:p>
        </w:tc>
        <w:tc>
          <w:tcPr>
            <w:tcW w:w="2695" w:type="dxa"/>
            <w:tcBorders/>
          </w:tcPr>
          <w:p>
            <w:pPr>
              <w:pStyle w:val="Normal"/>
              <w:widowControl/>
              <w:spacing w:before="0" w:afterAutospacing="0" w:after="0"/>
              <w:ind w:hanging="0"/>
              <w:jc w:val="both"/>
              <w:textAlignment w:val="auto"/>
              <w:rPr>
                <w:rFonts w:ascii="Arial" w:hAnsi="Arial" w:eastAsia="Times New Roman" w:cs="Arial"/>
                <w:b/>
                <w:bCs/>
                <w:lang w:val="pt-BR"/>
              </w:rPr>
            </w:pPr>
            <w:r>
              <w:rPr>
                <w:rFonts w:eastAsia="Times New Roman" w:cs="Arial" w:ascii="Arial" w:hAnsi="Arial"/>
                <w:b/>
                <w:bCs/>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13.1.</w:t>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gamintojas turi būti pats pagaminęs arba parinkęs siūlomai medvežei tinkančią bei medieną vežti pritaikytą priekabą;</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13.2.</w:t>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priekabos rėmas, standžioji vilktis (grąžulas) ir prikabinimo kilpa   pagaminti iš plieno;</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13.3.</w:t>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kern w:val="0"/>
                <w:sz w:val="22"/>
                <w:szCs w:val="22"/>
                <w:lang w:val="lt-LT" w:eastAsia="en-US" w:bidi="ar-SA"/>
              </w:rPr>
              <w:t>keliamoji galia – ne mažiau 4000 kg;</w:t>
            </w:r>
          </w:p>
        </w:tc>
        <w:tc>
          <w:tcPr>
            <w:tcW w:w="2695" w:type="dxa"/>
            <w:tcBorders/>
          </w:tcPr>
          <w:p>
            <w:pPr>
              <w:pStyle w:val="Normal"/>
              <w:widowControl/>
              <w:spacing w:before="0" w:afterAutospacing="0" w:after="0"/>
              <w:ind w:hanging="0"/>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13.4.</w:t>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kern w:val="0"/>
                <w:sz w:val="22"/>
                <w:szCs w:val="22"/>
                <w:lang w:val="lt-LT" w:eastAsia="en-US" w:bidi="ar-SA"/>
              </w:rPr>
              <w:t>didžiausias leidžiamas plotis – ne daugiau kaip 2400 mm;</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 xml:space="preserve">13.5. </w:t>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kern w:val="0"/>
                <w:sz w:val="22"/>
                <w:szCs w:val="22"/>
                <w:lang w:val="lt-LT" w:eastAsia="en-US" w:bidi="ar-SA"/>
              </w:rPr>
              <w:t>didžiausias leidžiamas ilgis – ne daugiau kaip 4300 mm;</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 xml:space="preserve">13.6. </w:t>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 xml:space="preserve">prošvaisa  – </w:t>
            </w:r>
            <w:r>
              <w:rPr>
                <w:rFonts w:eastAsia="Times New Roman" w:cs="Arial" w:ascii="Arial" w:hAnsi="Arial"/>
                <w:kern w:val="0"/>
                <w:sz w:val="22"/>
                <w:szCs w:val="22"/>
                <w:lang w:val="lt-LT" w:eastAsia="lt-LT" w:bidi="ar-SA"/>
              </w:rPr>
              <w:t>ne</w:t>
            </w:r>
            <w:r>
              <w:rPr>
                <w:rFonts w:eastAsia="Times New Roman" w:cs="Arial" w:ascii="Arial" w:hAnsi="Arial"/>
                <w:kern w:val="0"/>
                <w:sz w:val="22"/>
                <w:szCs w:val="22"/>
                <w:lang w:val="lt-LT" w:eastAsia="en-US" w:bidi="ar-SA"/>
              </w:rPr>
              <w:t xml:space="preserve"> mažiau 400 mm;</w:t>
            </w:r>
          </w:p>
        </w:tc>
        <w:tc>
          <w:tcPr>
            <w:tcW w:w="2695" w:type="dxa"/>
            <w:tcBorders/>
          </w:tcPr>
          <w:p>
            <w:pPr>
              <w:pStyle w:val="Normal"/>
              <w:widowControl/>
              <w:spacing w:before="0" w:afterAutospacing="0" w:after="0"/>
              <w:ind w:hanging="0"/>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13.7.</w:t>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transportinis (rungų) aukštis –  ne daugiau 3000 mm;</w:t>
            </w:r>
          </w:p>
        </w:tc>
        <w:tc>
          <w:tcPr>
            <w:tcW w:w="2695" w:type="dxa"/>
            <w:tcBorders/>
          </w:tcPr>
          <w:p>
            <w:pPr>
              <w:pStyle w:val="Normal"/>
              <w:widowControl/>
              <w:spacing w:before="0" w:afterAutospacing="0" w:after="0"/>
              <w:ind w:hanging="0"/>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13.8.</w:t>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ašių skaičius - ne mažiau 2 vnt. su  tandeminiu  vežimėliu;</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 xml:space="preserve"> </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13.9.</w:t>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t>padangų skaičius – ne mažiau 4 vnt. (po 2 vnt. ant kiekvienos ašies);</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l-PL"/>
              </w:rPr>
            </w:pPr>
            <w:r>
              <w:rPr>
                <w:rFonts w:eastAsia="Times New Roman" w:cs="Arial" w:ascii="Arial" w:hAnsi="Arial"/>
                <w:kern w:val="0"/>
                <w:sz w:val="22"/>
                <w:szCs w:val="22"/>
                <w:lang w:val="pl-PL"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13.10.</w:t>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kern w:val="0"/>
                <w:sz w:val="22"/>
                <w:szCs w:val="22"/>
                <w:lang w:val="lt-LT" w:eastAsia="en-US" w:bidi="ar-SA"/>
              </w:rPr>
              <w:t xml:space="preserve">padangos naujos (nerestauruotos) nemažesnių išmatavimų kaip 500/50X17, </w:t>
            </w:r>
            <w:r>
              <w:rPr>
                <w:rFonts w:eastAsia="Arial" w:cs="Arial" w:ascii="Arial" w:hAnsi="Arial"/>
                <w:kern w:val="0"/>
                <w:sz w:val="22"/>
                <w:szCs w:val="22"/>
                <w:lang w:val="lt-LT" w:eastAsia="en-US" w:bidi="ar-SA"/>
              </w:rPr>
              <w:t xml:space="preserve"> kurios yra su nemažesniu kaip 16 padangų sluoksnių reitingu </w:t>
            </w:r>
            <w:r>
              <w:rPr>
                <w:rFonts w:eastAsia="Arial" w:cs="Arial" w:ascii="Arial" w:hAnsi="Arial"/>
                <w:i/>
                <w:iCs/>
                <w:kern w:val="0"/>
                <w:sz w:val="22"/>
                <w:szCs w:val="22"/>
                <w:lang w:val="lt-LT" w:eastAsia="en-US" w:bidi="ar-SA"/>
              </w:rPr>
              <w:t>(„ply rating“</w:t>
            </w:r>
            <w:r>
              <w:rPr>
                <w:rFonts w:eastAsia="Arial" w:cs="Arial" w:ascii="Arial" w:hAnsi="Arial"/>
                <w:kern w:val="0"/>
                <w:sz w:val="22"/>
                <w:szCs w:val="22"/>
                <w:lang w:val="lt-LT" w:eastAsia="en-US" w:bidi="ar-SA"/>
              </w:rPr>
              <w:t xml:space="preserve">), </w:t>
            </w:r>
            <w:r>
              <w:rPr>
                <w:rFonts w:eastAsia="Times New Roman" w:cs="Arial" w:ascii="Arial" w:hAnsi="Arial"/>
                <w:kern w:val="0"/>
                <w:sz w:val="22"/>
                <w:szCs w:val="22"/>
                <w:lang w:val="lt-LT" w:eastAsia="en-US" w:bidi="ar-SA"/>
              </w:rPr>
              <w:t>skirtos miško technikai;</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13.11.</w:t>
            </w:r>
          </w:p>
        </w:tc>
        <w:tc>
          <w:tcPr>
            <w:tcW w:w="6378" w:type="dxa"/>
            <w:tcBorders/>
          </w:tcPr>
          <w:p>
            <w:pPr>
              <w:pStyle w:val="Normal"/>
              <w:widowControl/>
              <w:spacing w:before="0" w:afterAutospacing="0" w:after="0"/>
              <w:ind w:hanging="0"/>
              <w:jc w:val="both"/>
              <w:textAlignment w:val="auto"/>
              <w:rPr>
                <w:rFonts w:ascii="Arial" w:hAnsi="Arial" w:eastAsia="Times New Roman" w:cs="Arial"/>
                <w:highlight w:val="yellow"/>
                <w:lang w:val="lt-LT"/>
              </w:rPr>
            </w:pPr>
            <w:r>
              <w:rPr>
                <w:rFonts w:eastAsia="Times New Roman" w:cs="Arial" w:ascii="Arial" w:hAnsi="Arial"/>
                <w:kern w:val="0"/>
                <w:sz w:val="22"/>
                <w:szCs w:val="22"/>
                <w:lang w:val="lt-LT" w:eastAsia="en-US" w:bidi="ar-SA"/>
              </w:rPr>
              <w:t>reguliuojamas priekabos ilgis - nemažau 3000 mm ir nedaugiau 4300 m.</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pt-BR"/>
              </w:rPr>
            </w:pPr>
            <w:r>
              <w:rPr>
                <w:rFonts w:eastAsia="Times New Roman"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13.12.</w:t>
            </w:r>
          </w:p>
        </w:tc>
        <w:tc>
          <w:tcPr>
            <w:tcW w:w="6378" w:type="dxa"/>
            <w:tcBorders/>
          </w:tcPr>
          <w:p>
            <w:pPr>
              <w:pStyle w:val="Normal"/>
              <w:widowControl/>
              <w:spacing w:before="0" w:afterAutospacing="0" w:after="0"/>
              <w:ind w:hanging="0"/>
              <w:jc w:val="both"/>
              <w:textAlignment w:val="auto"/>
              <w:rPr>
                <w:rFonts w:ascii="Arial" w:hAnsi="Arial" w:eastAsia="Times New Roman" w:cs="Arial"/>
                <w:highlight w:val="yellow"/>
                <w:lang w:val="lt-LT"/>
              </w:rPr>
            </w:pPr>
            <w:r>
              <w:rPr>
                <w:rFonts w:eastAsia="Times New Roman" w:cs="Arial" w:ascii="Arial" w:hAnsi="Arial"/>
                <w:kern w:val="0"/>
                <w:sz w:val="22"/>
                <w:szCs w:val="22"/>
                <w:lang w:val="lt-LT" w:eastAsia="en-US" w:bidi="ar-SA"/>
              </w:rPr>
              <w:t>ne mažiau 2 rungų poros;</w:t>
            </w:r>
          </w:p>
        </w:tc>
        <w:tc>
          <w:tcPr>
            <w:tcW w:w="2695" w:type="dxa"/>
            <w:tcBorders/>
          </w:tcPr>
          <w:p>
            <w:pPr>
              <w:pStyle w:val="Normal"/>
              <w:widowControl/>
              <w:spacing w:before="0" w:afterAutospacing="0" w:after="0"/>
              <w:ind w:hanging="0"/>
              <w:jc w:val="both"/>
              <w:textAlignment w:val="auto"/>
              <w:rPr>
                <w:rFonts w:ascii="Arial" w:hAnsi="Arial" w:eastAsia="Times New Roman" w:cs="Arial"/>
              </w:rPr>
            </w:pPr>
            <w:r>
              <w:rPr>
                <w:rFonts w:eastAsia="Times New Roman" w:cs="Arial" w:ascii="Arial" w:hAnsi="Arial"/>
                <w:kern w:val="0"/>
                <w:sz w:val="22"/>
                <w:szCs w:val="22"/>
                <w:lang w:val="en-GB"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13.13.</w:t>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kern w:val="0"/>
                <w:sz w:val="22"/>
                <w:szCs w:val="22"/>
                <w:lang w:val="lt-LT" w:eastAsia="en-US" w:bidi="ar-SA"/>
              </w:rPr>
              <w:t>prikabinimo kilpa   pritaikyta prijungti prie medvežės vilkimo kilpos.</w:t>
            </w:r>
          </w:p>
        </w:tc>
        <w:tc>
          <w:tcPr>
            <w:tcW w:w="2695"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t>14.</w:t>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b/>
                <w:kern w:val="0"/>
                <w:sz w:val="22"/>
                <w:szCs w:val="22"/>
                <w:lang w:val="lt-LT" w:eastAsia="en-US" w:bidi="ar-SA"/>
              </w:rPr>
              <w:t>Garantijų reikalavimai (išskyrus tas detales, kurios susidėvi natūraliai):</w:t>
            </w:r>
          </w:p>
        </w:tc>
        <w:tc>
          <w:tcPr>
            <w:tcW w:w="2695" w:type="dxa"/>
            <w:tcBorders/>
          </w:tcPr>
          <w:p>
            <w:pPr>
              <w:pStyle w:val="Normal"/>
              <w:widowControl/>
              <w:spacing w:before="0" w:afterAutospacing="0" w:after="0"/>
              <w:ind w:hanging="0"/>
              <w:jc w:val="both"/>
              <w:textAlignment w:val="auto"/>
              <w:rPr>
                <w:rFonts w:ascii="Arial" w:hAnsi="Arial" w:eastAsia="Times New Roman" w:cs="Arial"/>
                <w:b/>
                <w:lang w:val="pt-BR"/>
              </w:rPr>
            </w:pPr>
            <w:r>
              <w:rPr>
                <w:rFonts w:eastAsia="Times New Roman" w:cs="Arial" w:ascii="Arial" w:hAnsi="Arial"/>
                <w:b/>
                <w:kern w:val="0"/>
                <w:sz w:val="22"/>
                <w:szCs w:val="22"/>
                <w:lang w:val="pt-BR" w:eastAsia="en-US" w:bidi="ar-SA"/>
              </w:rPr>
            </w:r>
          </w:p>
        </w:tc>
      </w:tr>
      <w:tr>
        <w:trPr>
          <w:trHeight w:val="704" w:hRule="atLeast"/>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14.1.</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bCs/>
                <w:kern w:val="0"/>
                <w:sz w:val="22"/>
                <w:szCs w:val="22"/>
                <w:lang w:val="lt-LT" w:eastAsia="en-US" w:bidi="ar-SA"/>
              </w:rPr>
              <w:t>ne trumpesnė nei 12 mėnesių arba 3000 darbo valandų (imtinai) (priklausomai kas pirma baigsis) visiška garantija nuo medvežės priėmimo – perdavimo akto pasirašymo dienos;</w:t>
            </w:r>
          </w:p>
        </w:tc>
        <w:tc>
          <w:tcPr>
            <w:tcW w:w="2695" w:type="dxa"/>
            <w:tcBorders/>
          </w:tcPr>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r>
          </w:p>
        </w:tc>
      </w:tr>
      <w:tr>
        <w:trPr>
          <w:trHeight w:val="704" w:hRule="atLeast"/>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14.2.</w:t>
            </w:r>
          </w:p>
        </w:tc>
        <w:tc>
          <w:tcPr>
            <w:tcW w:w="6378" w:type="dxa"/>
            <w:tcBorders/>
          </w:tcPr>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t>Ne trumpesnė nei 12 (dvylikos) mėnesių arba nuo 3001 iki 5000 darbo valandų (imtinai) (priklausomai kas pirma baigsis)</w:t>
            </w:r>
          </w:p>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t>papildoma garantija medvežės rėmui (išskyrus rėmų sujungimo, centrinio šarnyro pirštams ir įvorėms), manipuliatoriaus korpusui, griebtuvo rėmui (išskyrus griebtuvo pirštams), varikliui be generatoriaus, starterio, filtrų, žarnų, radiatoriaus, radiatoriaus ventiliatoriaus, variklio daviklių ir elektros įrangos;</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bCs/>
                <w:kern w:val="0"/>
                <w:sz w:val="22"/>
                <w:szCs w:val="22"/>
                <w:lang w:val="lt-LT" w:eastAsia="en-US" w:bidi="ar-SA"/>
              </w:rPr>
              <w:t>Papildoma garantija pradedama skaičiuoti pasibaigus šios techninės specifikacijos 12.1 punkte nurodytai garantijai</w:t>
            </w:r>
          </w:p>
        </w:tc>
        <w:tc>
          <w:tcPr>
            <w:tcW w:w="2695" w:type="dxa"/>
            <w:tcBorders/>
          </w:tcPr>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14.3.</w:t>
            </w:r>
          </w:p>
        </w:tc>
        <w:tc>
          <w:tcPr>
            <w:tcW w:w="6378" w:type="dxa"/>
            <w:tcBorders/>
          </w:tcPr>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bCs/>
                <w:kern w:val="0"/>
                <w:sz w:val="22"/>
                <w:szCs w:val="22"/>
                <w:lang w:val="lt-LT" w:eastAsia="en-US" w:bidi="ar-SA"/>
              </w:rPr>
              <w:t>garantiniu laikotarpiu sugedusios medvežės, kuri negali važiuoti sava eiga, pristatymas į remonto vietą tiekėjo sąskaita.</w:t>
            </w:r>
          </w:p>
        </w:tc>
        <w:tc>
          <w:tcPr>
            <w:tcW w:w="2695" w:type="dxa"/>
            <w:tcBorders/>
          </w:tcPr>
          <w:p>
            <w:pPr>
              <w:pStyle w:val="Normal"/>
              <w:widowControl/>
              <w:spacing w:before="0" w:afterAutospacing="0" w:after="0"/>
              <w:ind w:hanging="0"/>
              <w:jc w:val="both"/>
              <w:textAlignment w:val="auto"/>
              <w:rPr>
                <w:rFonts w:ascii="Arial" w:hAnsi="Arial" w:eastAsia="Times New Roman" w:cs="Arial"/>
                <w:bCs/>
                <w:lang w:val="lt-LT"/>
              </w:rPr>
            </w:pPr>
            <w:r>
              <w:rPr>
                <w:rFonts w:eastAsia="Times New Roman" w:cs="Arial" w:ascii="Arial" w:hAnsi="Arial"/>
                <w:bCs/>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
                <w:lang w:val="lt-LT"/>
              </w:rPr>
            </w:pPr>
            <w:r>
              <w:rPr>
                <w:rFonts w:eastAsia="Calibri" w:cs="Arial" w:ascii="Arial" w:hAnsi="Arial"/>
                <w:b/>
                <w:kern w:val="0"/>
                <w:sz w:val="22"/>
                <w:szCs w:val="22"/>
                <w:lang w:val="lt-LT" w:eastAsia="en-US" w:bidi="ar-SA"/>
              </w:rPr>
              <w:t>15.</w:t>
            </w:r>
          </w:p>
        </w:tc>
        <w:tc>
          <w:tcPr>
            <w:tcW w:w="6378" w:type="dxa"/>
            <w:tcBorders/>
          </w:tcPr>
          <w:p>
            <w:pPr>
              <w:pStyle w:val="Normal"/>
              <w:widowControl/>
              <w:spacing w:before="0" w:afterAutospacing="0" w:after="0"/>
              <w:ind w:hanging="0"/>
              <w:jc w:val="both"/>
              <w:textAlignment w:val="auto"/>
              <w:rPr>
                <w:rFonts w:ascii="Arial" w:hAnsi="Arial" w:eastAsia="Times New Roman" w:cs="Arial"/>
                <w:b/>
                <w:bCs/>
                <w:lang w:val="lt-LT"/>
              </w:rPr>
            </w:pPr>
            <w:r>
              <w:rPr>
                <w:rFonts w:eastAsia="Times New Roman" w:cs="Arial" w:ascii="Arial" w:hAnsi="Arial"/>
                <w:b/>
                <w:bCs/>
                <w:kern w:val="0"/>
                <w:sz w:val="22"/>
                <w:szCs w:val="22"/>
                <w:lang w:val="lt-LT" w:eastAsia="en-US" w:bidi="ar-SA"/>
              </w:rPr>
              <w:t>Kiti reikalavimai:</w:t>
            </w:r>
          </w:p>
        </w:tc>
        <w:tc>
          <w:tcPr>
            <w:tcW w:w="2695" w:type="dxa"/>
            <w:tcBorders/>
          </w:tcPr>
          <w:p>
            <w:pPr>
              <w:pStyle w:val="Normal"/>
              <w:widowControl/>
              <w:spacing w:before="0" w:afterAutospacing="0" w:after="0"/>
              <w:ind w:hanging="0"/>
              <w:jc w:val="both"/>
              <w:textAlignment w:val="auto"/>
              <w:rPr>
                <w:rFonts w:ascii="Arial" w:hAnsi="Arial" w:eastAsia="Times New Roman" w:cs="Arial"/>
                <w:b/>
                <w:bCs/>
              </w:rPr>
            </w:pPr>
            <w:r>
              <w:rPr>
                <w:rFonts w:eastAsia="Times New Roman" w:cs="Arial" w:ascii="Arial" w:hAnsi="Arial"/>
                <w:b/>
                <w:bCs/>
                <w:kern w:val="0"/>
                <w:sz w:val="22"/>
                <w:szCs w:val="22"/>
                <w:lang w:val="en-GB"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15.1.</w:t>
            </w:r>
          </w:p>
        </w:tc>
        <w:tc>
          <w:tcPr>
            <w:tcW w:w="6378" w:type="dxa"/>
            <w:tcBorders/>
          </w:tcPr>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t xml:space="preserve">Medvežė ir priekaba </w:t>
            </w:r>
            <w:r>
              <w:rPr>
                <w:rFonts w:eastAsia="Calibri" w:cs="Arial" w:ascii="Arial" w:hAnsi="Arial"/>
                <w:kern w:val="0"/>
                <w:sz w:val="22"/>
                <w:szCs w:val="22"/>
                <w:lang w:val="lt-LT" w:eastAsia="en-US" w:bidi="ar-SA"/>
              </w:rPr>
              <w:t xml:space="preserve">  po</w:t>
            </w:r>
            <w:r>
              <w:rPr>
                <w:rFonts w:eastAsia="Calibri" w:cs="Arial" w:ascii="Arial" w:hAnsi="Arial"/>
                <w:b/>
                <w:bCs/>
                <w:kern w:val="0"/>
                <w:sz w:val="22"/>
                <w:szCs w:val="22"/>
                <w:lang w:val="lt-LT" w:eastAsia="en-US" w:bidi="ar-SA"/>
              </w:rPr>
              <w:t xml:space="preserve"> </w:t>
            </w:r>
            <w:r>
              <w:rPr>
                <w:rFonts w:eastAsia="Calibri" w:cs="Arial" w:ascii="Arial" w:hAnsi="Arial"/>
                <w:kern w:val="0"/>
                <w:sz w:val="22"/>
                <w:szCs w:val="22"/>
                <w:lang w:val="lt-LT" w:eastAsia="en-US" w:bidi="ar-SA"/>
              </w:rPr>
              <w:t>1 vnt. ir jų sudedamos dalys turi būti naujos, neeksploatuotos, pagamintos ne anksčiau 2026 m., serijinės gamybos (ne vienetinis modelis);</w:t>
            </w:r>
          </w:p>
        </w:tc>
        <w:tc>
          <w:tcPr>
            <w:tcW w:w="2695" w:type="dxa"/>
            <w:tcBorders/>
          </w:tcPr>
          <w:p>
            <w:pPr>
              <w:pStyle w:val="Normal"/>
              <w:widowControl/>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15.2.</w:t>
            </w:r>
          </w:p>
        </w:tc>
        <w:tc>
          <w:tcPr>
            <w:tcW w:w="6378" w:type="dxa"/>
            <w:tcBorders/>
          </w:tcPr>
          <w:p>
            <w:pPr>
              <w:pStyle w:val="Normal"/>
              <w:widowControl/>
              <w:spacing w:before="0" w:afterAutospacing="0" w:after="0"/>
              <w:ind w:hanging="0"/>
              <w:jc w:val="both"/>
              <w:textAlignment w:val="auto"/>
              <w:rPr>
                <w:rFonts w:ascii="Arial" w:hAnsi="Arial" w:cs="Arial"/>
                <w:strike/>
                <w:lang w:val="lt-LT"/>
              </w:rPr>
            </w:pPr>
            <w:r>
              <w:rPr>
                <w:rFonts w:eastAsia="Calibri" w:cs="Arial" w:ascii="Arial" w:hAnsi="Arial"/>
                <w:kern w:val="0"/>
                <w:sz w:val="22"/>
                <w:szCs w:val="22"/>
                <w:lang w:val="lt-LT" w:eastAsia="en-US" w:bidi="ar-SA"/>
              </w:rPr>
              <w:t>medvežės operatorių (4 žmonių  ) apmokymas dirbti ne mažiau 24 darbo valandų 1 operatoriui. Operatoriai turi būti apmokyti iki prekių perdavimo – priėmimo akto pasirašymo;</w:t>
            </w:r>
          </w:p>
        </w:tc>
        <w:tc>
          <w:tcPr>
            <w:tcW w:w="2695"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15.3.</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mobilaus serviso (gamintojo apmokyto ir atestuoto personalo) paslaugos ir atsarginių dalių tiekimas garantiniu ir pogarantiniu laikotarpiais;</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15.4.</w:t>
            </w:r>
          </w:p>
        </w:tc>
        <w:tc>
          <w:tcPr>
            <w:tcW w:w="6378"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t>medvežė turi atitikti techninės specifikacijos reikalavimus, atitinkanti keliamus reikalavimus ir Europos Sąjungos standartus, sertifikuota - turi būti pateikiamas gamintojo CE ženklinimo sertifikato arba lygiaverčio dokumento tinkamai patvirtinta kopija su vertimu į lietuvių kalbą;</w:t>
            </w:r>
          </w:p>
        </w:tc>
        <w:tc>
          <w:tcPr>
            <w:tcW w:w="2695" w:type="dxa"/>
            <w:tcBorders/>
          </w:tcPr>
          <w:p>
            <w:pPr>
              <w:pStyle w:val="Normal"/>
              <w:widowControl/>
              <w:spacing w:before="0" w:afterAutospacing="0" w:after="0"/>
              <w:ind w:hanging="0"/>
              <w:jc w:val="both"/>
              <w:textAlignment w:val="auto"/>
              <w:rPr>
                <w:rFonts w:ascii="Arial" w:hAnsi="Arial" w:cs="Arial"/>
                <w:lang w:val="lt-LT" w:eastAsia="lt-LT"/>
              </w:rPr>
            </w:pPr>
            <w:r>
              <w:rPr>
                <w:rFonts w:eastAsia="Calibri" w:cs="Arial" w:ascii="Arial" w:hAnsi="Arial"/>
                <w:kern w:val="0"/>
                <w:sz w:val="22"/>
                <w:szCs w:val="22"/>
                <w:lang w:val="lt-LT" w:eastAsia="lt-LT"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15.5.</w:t>
            </w:r>
          </w:p>
        </w:tc>
        <w:tc>
          <w:tcPr>
            <w:tcW w:w="6378" w:type="dxa"/>
            <w:tcBorders/>
          </w:tcPr>
          <w:p>
            <w:pPr>
              <w:pStyle w:val="Normal"/>
              <w:widowControl/>
              <w:spacing w:before="0" w:afterAutospacing="0" w:after="0"/>
              <w:ind w:hanging="0"/>
              <w:jc w:val="both"/>
              <w:textAlignment w:val="auto"/>
              <w:rPr>
                <w:rFonts w:ascii="Arial" w:hAnsi="Arial" w:eastAsia="Times New Roman" w:cs="Arial"/>
                <w:bCs/>
                <w:lang w:val="lt-LT"/>
              </w:rPr>
            </w:pPr>
            <w:r>
              <w:rPr>
                <w:rFonts w:eastAsia="Times New Roman" w:cs="Arial" w:ascii="Arial" w:hAnsi="Arial"/>
                <w:bCs/>
                <w:kern w:val="0"/>
                <w:sz w:val="22"/>
                <w:szCs w:val="22"/>
                <w:lang w:val="lt-LT" w:eastAsia="en-US" w:bidi="ar-SA"/>
              </w:rPr>
              <w:t>su  medveže privaloma skaitmeninėje laikmenoje pateikti šiuos dokumentus:</w:t>
            </w:r>
          </w:p>
          <w:p>
            <w:pPr>
              <w:pStyle w:val="Normal"/>
              <w:widowControl/>
              <w:spacing w:before="0" w:afterAutospacing="0" w:after="0"/>
              <w:ind w:hanging="0"/>
              <w:jc w:val="both"/>
              <w:textAlignment w:val="auto"/>
              <w:rPr>
                <w:rFonts w:ascii="Arial" w:hAnsi="Arial" w:eastAsia="Times New Roman" w:cs="Arial"/>
                <w:bCs/>
                <w:lang w:val="lt-LT"/>
              </w:rPr>
            </w:pPr>
            <w:r>
              <w:rPr>
                <w:rFonts w:eastAsia="Times New Roman" w:cs="Arial" w:ascii="Arial" w:hAnsi="Arial"/>
                <w:bCs/>
                <w:kern w:val="0"/>
                <w:sz w:val="22"/>
                <w:szCs w:val="22"/>
                <w:lang w:val="lt-LT" w:eastAsia="en-US" w:bidi="ar-SA"/>
              </w:rPr>
              <w:t>eksploatacijos instrukciją;</w:t>
            </w:r>
          </w:p>
          <w:p>
            <w:pPr>
              <w:pStyle w:val="Normal"/>
              <w:widowControl/>
              <w:spacing w:before="0" w:afterAutospacing="0" w:after="0"/>
              <w:ind w:hanging="0"/>
              <w:jc w:val="both"/>
              <w:textAlignment w:val="auto"/>
              <w:rPr>
                <w:rFonts w:ascii="Arial" w:hAnsi="Arial" w:eastAsia="Times New Roman" w:cs="Arial"/>
                <w:bCs/>
                <w:lang w:val="lt-LT"/>
              </w:rPr>
            </w:pPr>
            <w:r>
              <w:rPr>
                <w:rFonts w:eastAsia="Times New Roman" w:cs="Arial" w:ascii="Arial" w:hAnsi="Arial"/>
                <w:bCs/>
                <w:kern w:val="0"/>
                <w:sz w:val="22"/>
                <w:szCs w:val="22"/>
                <w:lang w:val="lt-LT" w:eastAsia="en-US" w:bidi="ar-SA"/>
              </w:rPr>
              <w:t>kompiuterio programinės įrangos aprašymą;</w:t>
            </w:r>
          </w:p>
          <w:p>
            <w:pPr>
              <w:pStyle w:val="Normal"/>
              <w:widowControl/>
              <w:spacing w:before="0" w:afterAutospacing="0" w:after="0"/>
              <w:ind w:hanging="0"/>
              <w:jc w:val="both"/>
              <w:textAlignment w:val="auto"/>
              <w:rPr>
                <w:rFonts w:ascii="Arial" w:hAnsi="Arial" w:eastAsia="Times New Roman" w:cs="Arial"/>
                <w:bCs/>
                <w:lang w:val="lt-LT"/>
              </w:rPr>
            </w:pPr>
            <w:r>
              <w:rPr>
                <w:rFonts w:eastAsia="Times New Roman" w:cs="Arial" w:ascii="Arial" w:hAnsi="Arial"/>
                <w:bCs/>
                <w:kern w:val="0"/>
                <w:sz w:val="22"/>
                <w:szCs w:val="22"/>
                <w:lang w:val="lt-LT" w:eastAsia="en-US" w:bidi="ar-SA"/>
              </w:rPr>
              <w:t>papildomai medvežėje integruotų sistemų aprašymai ir naudojimo instrukcijos (jei jos įrengtos);</w:t>
            </w:r>
          </w:p>
          <w:p>
            <w:pPr>
              <w:pStyle w:val="Normal"/>
              <w:widowControl/>
              <w:spacing w:before="0" w:afterAutospacing="0" w:after="0"/>
              <w:ind w:hanging="0"/>
              <w:jc w:val="both"/>
              <w:textAlignment w:val="auto"/>
              <w:rPr>
                <w:rFonts w:ascii="Arial" w:hAnsi="Arial" w:eastAsia="Times New Roman" w:cs="Arial"/>
                <w:bCs/>
                <w:lang w:val="lt-LT"/>
              </w:rPr>
            </w:pPr>
            <w:r>
              <w:rPr>
                <w:rFonts w:eastAsia="Times New Roman" w:cs="Arial" w:ascii="Arial" w:hAnsi="Arial"/>
                <w:bCs/>
                <w:kern w:val="0"/>
                <w:sz w:val="22"/>
                <w:szCs w:val="22"/>
                <w:lang w:val="lt-LT" w:eastAsia="en-US" w:bidi="ar-SA"/>
              </w:rPr>
              <w:t>atsarginių detalių katalogą;</w:t>
            </w:r>
          </w:p>
          <w:p>
            <w:pPr>
              <w:pStyle w:val="Normal"/>
              <w:widowControl/>
              <w:spacing w:before="0" w:afterAutospacing="0" w:after="0"/>
              <w:ind w:hanging="0"/>
              <w:jc w:val="both"/>
              <w:textAlignment w:val="auto"/>
              <w:rPr>
                <w:rFonts w:ascii="Arial" w:hAnsi="Arial" w:eastAsia="Times New Roman" w:cs="Arial"/>
                <w:bCs/>
                <w:lang w:val="lt-LT"/>
              </w:rPr>
            </w:pPr>
            <w:r>
              <w:rPr>
                <w:rFonts w:eastAsia="Times New Roman" w:cs="Arial" w:ascii="Arial" w:hAnsi="Arial"/>
                <w:bCs/>
                <w:kern w:val="0"/>
                <w:sz w:val="22"/>
                <w:szCs w:val="22"/>
                <w:lang w:val="lt-LT" w:eastAsia="en-US" w:bidi="ar-SA"/>
              </w:rPr>
              <w:t>mechanizmo kompiuterinės sistemos generuojamų medvežės gedimų kodų sąrašą su detaliais gedimų kodų reikšmių aprašymais.</w:t>
            </w:r>
          </w:p>
          <w:p>
            <w:pPr>
              <w:pStyle w:val="Normal"/>
              <w:widowControl/>
              <w:spacing w:before="0" w:afterAutospacing="0" w:after="0"/>
              <w:ind w:hanging="0"/>
              <w:jc w:val="both"/>
              <w:textAlignment w:val="auto"/>
              <w:rPr>
                <w:rFonts w:ascii="Arial" w:hAnsi="Arial" w:eastAsia="Times New Roman" w:cs="Arial"/>
                <w:bCs/>
                <w:lang w:val="lt-LT"/>
              </w:rPr>
            </w:pPr>
            <w:r>
              <w:rPr>
                <w:rFonts w:eastAsia="Times New Roman" w:cs="Arial" w:ascii="Arial" w:hAnsi="Arial"/>
                <w:bCs/>
                <w:kern w:val="0"/>
                <w:sz w:val="22"/>
                <w:szCs w:val="22"/>
                <w:lang w:val="lt-LT" w:eastAsia="en-US" w:bidi="ar-SA"/>
              </w:rPr>
              <w:t>taip pat kitus reikalingus dokumentus, kurie reikalingi tinkamai naudoti ir eksploatuoti įsigytą techniką.</w:t>
            </w:r>
          </w:p>
          <w:p>
            <w:pPr>
              <w:pStyle w:val="Normal"/>
              <w:widowControl/>
              <w:spacing w:before="0" w:afterAutospacing="0" w:after="0"/>
              <w:ind w:hanging="0"/>
              <w:jc w:val="both"/>
              <w:textAlignment w:val="auto"/>
              <w:rPr>
                <w:rFonts w:ascii="Arial" w:hAnsi="Arial" w:eastAsia="Times New Roman" w:cs="Arial"/>
                <w:lang w:val="lt-LT"/>
              </w:rPr>
            </w:pPr>
            <w:r>
              <w:rPr>
                <w:rFonts w:eastAsia="Times New Roman" w:cs="Arial" w:ascii="Arial" w:hAnsi="Arial"/>
                <w:bCs/>
                <w:kern w:val="0"/>
                <w:sz w:val="22"/>
                <w:szCs w:val="22"/>
                <w:lang w:val="lt-LT" w:eastAsia="en-US" w:bidi="ar-SA"/>
              </w:rPr>
              <w:t>Dokumentai pateikiami lietuvių kalba arba su tinkamu vertimu į lietuvių kalbą.</w:t>
            </w:r>
          </w:p>
        </w:tc>
        <w:tc>
          <w:tcPr>
            <w:tcW w:w="2695" w:type="dxa"/>
            <w:tcBorders/>
          </w:tcPr>
          <w:p>
            <w:pPr>
              <w:pStyle w:val="Normal"/>
              <w:widowControl/>
              <w:spacing w:before="0" w:afterAutospacing="0" w:after="0"/>
              <w:ind w:hanging="0"/>
              <w:jc w:val="both"/>
              <w:textAlignment w:val="auto"/>
              <w:rPr>
                <w:rFonts w:ascii="Arial" w:hAnsi="Arial" w:eastAsia="Times New Roman" w:cs="Arial"/>
                <w:bCs/>
                <w:lang w:val="lt-LT"/>
              </w:rPr>
            </w:pPr>
            <w:r>
              <w:rPr>
                <w:rFonts w:eastAsia="Times New Roman" w:cs="Arial" w:ascii="Arial" w:hAnsi="Arial"/>
                <w:bCs/>
                <w:kern w:val="0"/>
                <w:sz w:val="22"/>
                <w:szCs w:val="22"/>
                <w:lang w:val="lt-LT" w:eastAsia="en-US" w:bidi="ar-SA"/>
              </w:rPr>
            </w:r>
          </w:p>
        </w:tc>
      </w:tr>
      <w:tr>
        <w:trPr/>
        <w:tc>
          <w:tcPr>
            <w:tcW w:w="987" w:type="dxa"/>
            <w:tcBorders/>
          </w:tcPr>
          <w:p>
            <w:pPr>
              <w:pStyle w:val="Normal"/>
              <w:widowControl/>
              <w:numPr>
                <w:ilvl w:val="0"/>
                <w:numId w:val="0"/>
              </w:numPr>
              <w:tabs>
                <w:tab w:val="clear" w:pos="1296"/>
                <w:tab w:val="left" w:pos="567" w:leader="none"/>
                <w:tab w:val="left" w:pos="680" w:leader="none"/>
                <w:tab w:val="left" w:pos="720" w:leader="none"/>
                <w:tab w:val="left" w:pos="6425" w:leader="none"/>
              </w:tabs>
              <w:spacing w:before="0" w:afterAutospacing="0" w:after="0"/>
              <w:ind w:hanging="0" w:start="142"/>
              <w:contextualSpacing/>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15.6.</w:t>
            </w:r>
          </w:p>
        </w:tc>
        <w:tc>
          <w:tcPr>
            <w:tcW w:w="6378" w:type="dxa"/>
            <w:tcBorders/>
          </w:tcPr>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medvežė Pirkėjo vardu turi būti užregistruota Lietuvos Respublikos teisės aktų nustatyta tvarka ir jai turi būti suteiktas valstybinio numerio ženklas.</w:t>
            </w:r>
          </w:p>
          <w:p>
            <w:pPr>
              <w:pStyle w:val="Normal"/>
              <w:widowControl/>
              <w:spacing w:before="0" w:afterAutospacing="0" w:after="0"/>
              <w:ind w:hanging="0"/>
              <w:jc w:val="both"/>
              <w:textAlignment w:val="auto"/>
              <w:rPr>
                <w:rFonts w:ascii="Arial" w:hAnsi="Arial" w:cs="Arial"/>
                <w:lang w:val="lt-LT"/>
              </w:rPr>
            </w:pPr>
            <w:r>
              <w:rPr>
                <w:rFonts w:eastAsia="Calibri" w:cs="Arial" w:ascii="Arial" w:hAnsi="Arial"/>
                <w:kern w:val="0"/>
                <w:sz w:val="22"/>
                <w:szCs w:val="22"/>
                <w:lang w:val="lt-LT" w:eastAsia="en-US" w:bidi="ar-SA"/>
              </w:rPr>
              <w:t>Registravimas PPĮ - Tiekėjas ne vėliau nei prekės perdavimo dieną hidromanipuliatorių privalo įregistruoti Pirkėjo vardu Potencialiai pavojingų įrenginių valstybės registre (jeigu tai numato Lietuvos Respublikos potencialiai pavojingų įrenginių priežiūros įstatymas), prieš tai atlikęs naujai sumontuoto hidromanipuliatoriaus techninės būklės patikrą. Su preke pateikiama hidromanipuliatoriaus registracijos pažyma ir techninės būklės patikrinimo ataskaita;</w:t>
            </w:r>
          </w:p>
        </w:tc>
        <w:tc>
          <w:tcPr>
            <w:tcW w:w="2695" w:type="dxa"/>
            <w:tcBorders/>
          </w:tcPr>
          <w:p>
            <w:pPr>
              <w:pStyle w:val="Normal"/>
              <w:widowControl/>
              <w:spacing w:before="0" w:afterAutospacing="0" w:after="0"/>
              <w:ind w:hanging="0"/>
              <w:jc w:val="both"/>
              <w:textAlignment w:val="auto"/>
              <w:rPr>
                <w:rFonts w:ascii="Arial" w:hAnsi="Arial" w:cs="Arial"/>
                <w:lang w:val="pt-BR"/>
              </w:rPr>
            </w:pPr>
            <w:r>
              <w:rPr>
                <w:rFonts w:eastAsia="Calibri" w:cs="Arial" w:ascii="Arial" w:hAnsi="Arial"/>
                <w:kern w:val="0"/>
                <w:sz w:val="22"/>
                <w:szCs w:val="22"/>
                <w:lang w:val="pt-BR" w:eastAsia="en-US" w:bidi="ar-SA"/>
              </w:rPr>
            </w:r>
          </w:p>
        </w:tc>
      </w:tr>
      <w:tr>
        <w:trPr/>
        <w:tc>
          <w:tcPr>
            <w:tcW w:w="987" w:type="dxa"/>
            <w:tcBorders/>
          </w:tcPr>
          <w:p>
            <w:pPr>
              <w:pStyle w:val="Normal"/>
              <w:widowControl/>
              <w:numPr>
                <w:ilvl w:val="0"/>
                <w:numId w:val="0"/>
              </w:numPr>
              <w:tabs>
                <w:tab w:val="clear" w:pos="1296"/>
                <w:tab w:val="left" w:pos="720" w:leader="none"/>
                <w:tab w:val="left" w:pos="6425" w:leader="none"/>
              </w:tabs>
              <w:spacing w:before="0" w:afterAutospacing="0" w:after="0"/>
              <w:ind w:hanging="0" w:end="-11"/>
              <w:jc w:val="both"/>
              <w:textAlignment w:val="auto"/>
              <w:outlineLvl w:val="0"/>
              <w:rPr>
                <w:rFonts w:ascii="Arial" w:hAnsi="Arial" w:eastAsia="Calibri" w:cs="Arial"/>
                <w:bCs/>
                <w:lang w:val="lt-LT"/>
              </w:rPr>
            </w:pPr>
            <w:r>
              <w:rPr>
                <w:rFonts w:eastAsia="Calibri" w:cs="Arial" w:ascii="Arial" w:hAnsi="Arial"/>
                <w:bCs/>
                <w:kern w:val="0"/>
                <w:sz w:val="22"/>
                <w:szCs w:val="22"/>
                <w:lang w:val="lt-LT" w:eastAsia="en-US" w:bidi="ar-SA"/>
              </w:rPr>
              <w:t>15.7.</w:t>
            </w:r>
          </w:p>
        </w:tc>
        <w:tc>
          <w:tcPr>
            <w:tcW w:w="6378"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color w:themeColor="text1" w:val="000000"/>
                <w:lang w:val="lt-LT"/>
              </w:rPr>
            </w:pPr>
            <w:r>
              <w:rPr>
                <w:rFonts w:eastAsia="Calibri" w:cs="Arial" w:ascii="Arial" w:hAnsi="Arial"/>
                <w:bCs/>
                <w:kern w:val="0"/>
                <w:sz w:val="22"/>
                <w:szCs w:val="22"/>
                <w:lang w:val="lt-LT" w:eastAsia="en-US" w:bidi="ar-SA"/>
              </w:rPr>
              <w:t>medvežė turės būti pristatyta, per 12 mėnesių nuo sutarties įsigaliojimo</w:t>
            </w:r>
            <w:r>
              <w:rPr>
                <w:rFonts w:eastAsia="Calibri" w:cs="Arial" w:ascii="Arial" w:hAnsi="Arial"/>
                <w:color w:themeColor="text1" w:val="000000"/>
                <w:kern w:val="0"/>
                <w:sz w:val="22"/>
                <w:szCs w:val="22"/>
                <w:lang w:val="lt-LT" w:eastAsia="en-US" w:bidi="ar-SA"/>
              </w:rPr>
              <w:t xml:space="preserve">  į VMU regioninį padalinį, VMU atsakingų darbuotojų nurodytu adresu.</w:t>
            </w:r>
          </w:p>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lang w:val="lt-LT"/>
              </w:rPr>
            </w:pPr>
            <w:r>
              <w:rPr>
                <w:rFonts w:eastAsia="Calibri" w:cs="Arial" w:ascii="Arial" w:hAnsi="Arial"/>
                <w:color w:themeColor="text1" w:val="000000"/>
                <w:kern w:val="0"/>
                <w:sz w:val="22"/>
                <w:szCs w:val="22"/>
                <w:lang w:val="lt-LT" w:eastAsia="en-US" w:bidi="ar-SA"/>
              </w:rPr>
              <w:t>Pastaba. Užsakovui ir Tiekėjui raštiškai patvirtinus, atskirą susitarimą (elektroniniu paštu),  kiekvienos medvežės pristatymo laiko periodas gali būti ankstinamas.</w:t>
            </w:r>
          </w:p>
        </w:tc>
        <w:tc>
          <w:tcPr>
            <w:tcW w:w="2695" w:type="dxa"/>
            <w:tcBorders/>
          </w:tcPr>
          <w:p>
            <w:pPr>
              <w:pStyle w:val="Normal"/>
              <w:widowControl/>
              <w:tabs>
                <w:tab w:val="clear" w:pos="1296"/>
                <w:tab w:val="center" w:pos="4819" w:leader="none"/>
                <w:tab w:val="right" w:pos="9638" w:leader="none"/>
              </w:tabs>
              <w:spacing w:before="0" w:afterAutospacing="0" w:after="0"/>
              <w:ind w:hanging="0"/>
              <w:jc w:val="both"/>
              <w:textAlignment w:val="auto"/>
              <w:rPr>
                <w:rFonts w:ascii="Arial" w:hAnsi="Arial" w:cs="Arial"/>
                <w:bCs/>
                <w:lang w:val="lt-LT"/>
              </w:rPr>
            </w:pPr>
            <w:r>
              <w:rPr>
                <w:rFonts w:eastAsia="Calibri" w:cs="Arial" w:ascii="Arial" w:hAnsi="Arial"/>
                <w:bCs/>
                <w:kern w:val="0"/>
                <w:sz w:val="22"/>
                <w:szCs w:val="22"/>
                <w:lang w:val="lt-LT" w:eastAsia="en-US" w:bidi="ar-SA"/>
              </w:rPr>
            </w:r>
          </w:p>
        </w:tc>
      </w:tr>
    </w:tbl>
    <w:p>
      <w:pPr>
        <w:pStyle w:val="Normal"/>
        <w:spacing w:lineRule="auto" w:line="259" w:before="0" w:afterAutospacing="0" w:after="0"/>
        <w:ind w:hanging="0"/>
        <w:jc w:val="both"/>
        <w:textAlignment w:val="auto"/>
        <w:rPr>
          <w:rFonts w:ascii="Arial" w:hAnsi="Arial" w:cs="Arial"/>
          <w:b/>
        </w:rPr>
      </w:pPr>
      <w:r>
        <w:rPr>
          <w:rFonts w:cs="Arial" w:ascii="Arial" w:hAnsi="Arial"/>
          <w:b/>
        </w:rPr>
      </w:r>
      <w:bookmarkStart w:id="5" w:name="_Hlk106621880"/>
      <w:bookmarkStart w:id="6" w:name="_Hlk530551244"/>
      <w:bookmarkStart w:id="7" w:name="_Hlk106621880"/>
      <w:bookmarkStart w:id="8" w:name="_Hlk530551244"/>
      <w:bookmarkEnd w:id="7"/>
      <w:bookmarkEnd w:id="8"/>
    </w:p>
    <w:p>
      <w:pPr>
        <w:pStyle w:val="Normal"/>
        <w:spacing w:lineRule="auto" w:line="259" w:before="0" w:afterAutospacing="0" w:after="0"/>
        <w:ind w:hanging="0" w:start="1985"/>
        <w:textAlignment w:val="auto"/>
        <w:rPr>
          <w:rFonts w:ascii="Arial" w:hAnsi="Arial" w:cs="Arial"/>
        </w:rPr>
      </w:pPr>
      <w:r>
        <w:rPr>
          <w:rFonts w:cs="Arial" w:ascii="Arial" w:hAnsi="Arial"/>
        </w:rPr>
      </w:r>
      <w:bookmarkStart w:id="9" w:name="_Hlk103167460"/>
      <w:bookmarkStart w:id="10" w:name="_Hlk143255210"/>
      <w:bookmarkStart w:id="11" w:name="_Hlk143255246"/>
      <w:bookmarkStart w:id="12" w:name="_Hlk103167460"/>
      <w:bookmarkStart w:id="13" w:name="_Hlk143255210"/>
      <w:bookmarkStart w:id="14" w:name="_Hlk143255246"/>
      <w:bookmarkEnd w:id="12"/>
      <w:bookmarkEnd w:id="13"/>
      <w:bookmarkEnd w:id="14"/>
    </w:p>
    <w:p>
      <w:pPr>
        <w:pStyle w:val="Normal"/>
        <w:spacing w:lineRule="auto" w:line="259" w:before="0" w:afterAutospacing="0" w:after="0"/>
        <w:ind w:hanging="0"/>
        <w:jc w:val="center"/>
        <w:textAlignment w:val="auto"/>
        <w:rPr>
          <w:rFonts w:ascii="Arial" w:hAnsi="Arial" w:eastAsia="Arial" w:cs="Arial"/>
          <w:b/>
          <w:color w:val="000000"/>
          <w:lang w:eastAsia="lt-LT"/>
        </w:rPr>
      </w:pPr>
      <w:r>
        <w:rPr>
          <w:rFonts w:eastAsia="Arial" w:cs="Arial" w:ascii="Arial" w:hAnsi="Arial"/>
          <w:b/>
          <w:color w:val="000000"/>
          <w:lang w:eastAsia="lt-LT"/>
        </w:rPr>
        <w:t>______________________________________________</w:t>
      </w:r>
    </w:p>
    <w:sectPr>
      <w:type w:val="nextPage"/>
      <w:pgSz w:w="12240" w:h="15840"/>
      <w:pgMar w:left="1701" w:right="567" w:gutter="0" w:header="0" w:top="1701" w:footer="0" w:bottom="1134"/>
      <w:pgNumType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Segoe UI">
    <w:charset w:val="00" w:characterSet="windows-1252"/>
    <w:family w:val="swiss"/>
    <w:pitch w:val="variable"/>
  </w:font>
  <w:font w:name="Liberation Sans">
    <w:altName w:val="Arial"/>
    <w:charset w:val="00" w:characterSet="windows-1252"/>
    <w:family w:val="swiss"/>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suff w:val="nothing"/>
      <w:lvlText w:val="%1"/>
      <w:lvlJc w:val="start"/>
      <w:pPr>
        <w:tabs>
          <w:tab w:val="num" w:pos="0"/>
        </w:tabs>
        <w:ind w:start="0" w:hanging="0"/>
      </w:pPr>
      <w:rPr>
        <w:i w:val="false"/>
        <w:b/>
      </w:rPr>
    </w:lvl>
    <w:lvl w:ilvl="1">
      <w:start w:val="1"/>
      <w:numFmt w:val="decimal"/>
      <w:suff w:val="space"/>
      <w:lvlText w:val="%2."/>
      <w:lvlJc w:val="start"/>
      <w:pPr>
        <w:tabs>
          <w:tab w:val="num" w:pos="0"/>
        </w:tabs>
        <w:ind w:start="0" w:hanging="0"/>
      </w:pPr>
      <w:rPr>
        <w:i w:val="false"/>
        <w:b/>
      </w:rPr>
    </w:lvl>
    <w:lvl w:ilvl="2">
      <w:start w:val="1"/>
      <w:numFmt w:val="decimal"/>
      <w:suff w:val="space"/>
      <w:lvlText w:val="%2.%3."/>
      <w:lvlJc w:val="start"/>
      <w:pPr>
        <w:tabs>
          <w:tab w:val="num" w:pos="0"/>
        </w:tabs>
        <w:ind w:start="568" w:hanging="0"/>
      </w:pPr>
      <w:rPr/>
    </w:lvl>
    <w:lvl w:ilvl="3">
      <w:start w:val="1"/>
      <w:numFmt w:val="decimal"/>
      <w:lvlText w:val="(%4)"/>
      <w:lvlJc w:val="start"/>
      <w:pPr>
        <w:tabs>
          <w:tab w:val="num" w:pos="0"/>
        </w:tabs>
        <w:ind w:start="1440" w:hanging="360"/>
      </w:pPr>
      <w:rPr/>
    </w:lvl>
    <w:lvl w:ilvl="4">
      <w:start w:val="1"/>
      <w:numFmt w:val="lowerLetter"/>
      <w:lvlText w:val="(%5)"/>
      <w:lvlJc w:val="start"/>
      <w:pPr>
        <w:tabs>
          <w:tab w:val="num" w:pos="0"/>
        </w:tabs>
        <w:ind w:start="1800" w:hanging="360"/>
      </w:pPr>
      <w:rPr/>
    </w:lvl>
    <w:lvl w:ilvl="5">
      <w:start w:val="1"/>
      <w:numFmt w:val="lowerRoman"/>
      <w:lvlText w:val="(%6)"/>
      <w:lvlJc w:val="start"/>
      <w:pPr>
        <w:tabs>
          <w:tab w:val="num" w:pos="0"/>
        </w:tabs>
        <w:ind w:start="2160" w:hanging="360"/>
      </w:pPr>
      <w:rPr/>
    </w:lvl>
    <w:lvl w:ilvl="6">
      <w:start w:val="1"/>
      <w:numFmt w:val="decimal"/>
      <w:lvlText w:val="%7."/>
      <w:lvlJc w:val="start"/>
      <w:pPr>
        <w:tabs>
          <w:tab w:val="num" w:pos="0"/>
        </w:tabs>
        <w:ind w:start="2520" w:hanging="360"/>
      </w:pPr>
      <w:rPr/>
    </w:lvl>
    <w:lvl w:ilvl="7">
      <w:start w:val="1"/>
      <w:numFmt w:val="lowerLetter"/>
      <w:lvlText w:val="%8."/>
      <w:lvlJc w:val="start"/>
      <w:pPr>
        <w:tabs>
          <w:tab w:val="num" w:pos="0"/>
        </w:tabs>
        <w:ind w:start="2880" w:hanging="360"/>
      </w:pPr>
      <w:rPr/>
    </w:lvl>
    <w:lvl w:ilvl="8">
      <w:start w:val="1"/>
      <w:numFmt w:val="lowerRoman"/>
      <w:lvlText w:val="%9."/>
      <w:lvlJc w:val="start"/>
      <w:pPr>
        <w:tabs>
          <w:tab w:val="num" w:pos="0"/>
        </w:tabs>
        <w:ind w:start="3240" w:hanging="360"/>
      </w:pPr>
      <w:r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defaultTabStop w:val="1296"/>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239c1"/>
    <w:pPr>
      <w:widowControl/>
      <w:bidi w:val="0"/>
      <w:spacing w:lineRule="auto" w:line="240" w:before="0" w:afterAutospacing="1"/>
      <w:ind w:firstLine="567"/>
      <w:jc w:val="start"/>
      <w:textAlignment w:val="baseline"/>
    </w:pPr>
    <w:rPr>
      <w:rFonts w:ascii="Calibri" w:hAnsi="Calibri" w:eastAsia="Calibri" w:cs="" w:asciiTheme="minorHAnsi" w:cstheme="minorBidi" w:eastAsiaTheme="minorHAnsi" w:hAnsiTheme="minorHAns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value" w:customStyle="1">
    <w:name w:val="value"/>
    <w:basedOn w:val="DefaultParagraphFont"/>
    <w:qFormat/>
    <w:rsid w:val="00545821"/>
    <w:rPr/>
  </w:style>
  <w:style w:type="character" w:styleId="InternetLink">
    <w:name w:val="Internet Link"/>
    <w:basedOn w:val="DefaultParagraphFont"/>
    <w:uiPriority w:val="99"/>
    <w:unhideWhenUsed/>
    <w:qFormat/>
    <w:rsid w:val="00a558c0"/>
    <w:rPr>
      <w:color w:themeColor="hyperlink" w:val="0563C1"/>
      <w:u w:val="single"/>
    </w:rPr>
  </w:style>
  <w:style w:type="character" w:styleId="UnresolvedMention">
    <w:name w:val="Unresolved Mention"/>
    <w:basedOn w:val="DefaultParagraphFont"/>
    <w:uiPriority w:val="99"/>
    <w:semiHidden/>
    <w:unhideWhenUsed/>
    <w:qFormat/>
    <w:rsid w:val="00a558c0"/>
    <w:rPr>
      <w:color w:val="605E5C"/>
      <w:shd w:fill="E1DFDD" w:val="clear"/>
    </w:rPr>
  </w:style>
  <w:style w:type="character" w:styleId="Bodytext2" w:customStyle="1">
    <w:name w:val="Body text (2)_"/>
    <w:link w:val="Bodytext21"/>
    <w:qFormat/>
    <w:rsid w:val="007c77f3"/>
    <w:rPr>
      <w:i/>
      <w:iCs/>
      <w:sz w:val="23"/>
      <w:szCs w:val="23"/>
      <w:shd w:fill="FFFFFF" w:val="clear"/>
    </w:rPr>
  </w:style>
  <w:style w:type="character" w:styleId="Bodytext2NotItalic1" w:customStyle="1">
    <w:name w:val="Body text (2) + Not Italic1"/>
    <w:qFormat/>
    <w:rsid w:val="007c77f3"/>
    <w:rPr>
      <w:rFonts w:ascii="Times New Roman" w:hAnsi="Times New Roman" w:cs="Times New Roman"/>
      <w:i/>
      <w:iCs/>
      <w:sz w:val="23"/>
      <w:szCs w:val="23"/>
      <w:shd w:fill="FFFFFF" w:val="clear"/>
    </w:rPr>
  </w:style>
  <w:style w:type="character" w:styleId="Bodytext" w:customStyle="1">
    <w:name w:val="Body text_"/>
    <w:link w:val="Bodytext11"/>
    <w:qFormat/>
    <w:rsid w:val="007c77f3"/>
    <w:rPr>
      <w:sz w:val="23"/>
      <w:szCs w:val="23"/>
      <w:shd w:fill="FFFFFF" w:val="clear"/>
    </w:rPr>
  </w:style>
  <w:style w:type="character" w:styleId="FollowedHyperlink">
    <w:name w:val="FollowedHyperlink"/>
    <w:basedOn w:val="DefaultParagraphFont"/>
    <w:uiPriority w:val="99"/>
    <w:semiHidden/>
    <w:unhideWhenUsed/>
    <w:rsid w:val="00081222"/>
    <w:rPr>
      <w:color w:themeColor="followedHyperlink" w:val="954F72"/>
      <w:u w:val="single"/>
    </w:rPr>
  </w:style>
  <w:style w:type="character" w:styleId="PavadinimasDiagrama" w:customStyle="1">
    <w:name w:val="Pavadinimas Diagrama"/>
    <w:basedOn w:val="DefaultParagraphFont"/>
    <w:qFormat/>
    <w:rsid w:val="000c75e7"/>
    <w:rPr>
      <w:rFonts w:ascii="Times New Roman" w:hAnsi="Times New Roman" w:eastAsia="Times New Roman" w:cs="Times New Roman"/>
      <w:b/>
      <w:bCs/>
      <w:sz w:val="28"/>
      <w:szCs w:val="24"/>
    </w:rPr>
  </w:style>
  <w:style w:type="character" w:styleId="cf01" w:customStyle="1">
    <w:name w:val="cf01"/>
    <w:basedOn w:val="DefaultParagraphFont"/>
    <w:qFormat/>
    <w:rsid w:val="00e850f0"/>
    <w:rPr>
      <w:rFonts w:ascii="Segoe UI" w:hAnsi="Segoe UI" w:cs="Segoe UI"/>
      <w:sz w:val="18"/>
      <w:szCs w:val="18"/>
    </w:rPr>
  </w:style>
  <w:style w:type="character" w:styleId="AntratsDiagrama" w:customStyle="1">
    <w:name w:val="Antraštės Diagrama"/>
    <w:basedOn w:val="DefaultParagraphFont"/>
    <w:uiPriority w:val="99"/>
    <w:qFormat/>
    <w:rsid w:val="00e850f0"/>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Bodytext21" w:customStyle="1">
    <w:name w:val="Body text (2)"/>
    <w:basedOn w:val="Normal"/>
    <w:link w:val="Bodytext2"/>
    <w:qFormat/>
    <w:rsid w:val="007c77f3"/>
    <w:pPr>
      <w:shd w:val="clear" w:color="auto" w:fill="FFFFFF"/>
      <w:spacing w:lineRule="exact" w:line="269"/>
      <w:ind w:hanging="400"/>
      <w:textAlignment w:val="auto"/>
    </w:pPr>
    <w:rPr>
      <w:i/>
      <w:iCs/>
      <w:sz w:val="23"/>
      <w:szCs w:val="23"/>
    </w:rPr>
  </w:style>
  <w:style w:type="paragraph" w:styleId="Bodytext11" w:customStyle="1">
    <w:name w:val="Body text1"/>
    <w:basedOn w:val="Normal"/>
    <w:link w:val="Bodytext"/>
    <w:qFormat/>
    <w:rsid w:val="007c77f3"/>
    <w:pPr>
      <w:shd w:val="clear" w:color="auto" w:fill="FFFFFF"/>
      <w:spacing w:lineRule="exact" w:line="274" w:before="240" w:afterAutospacing="0" w:after="240"/>
      <w:ind w:hanging="1060"/>
      <w:textAlignment w:val="auto"/>
    </w:pPr>
    <w:rPr>
      <w:sz w:val="23"/>
      <w:szCs w:val="23"/>
    </w:rPr>
  </w:style>
  <w:style w:type="paragraph" w:styleId="Revision">
    <w:name w:val="Revision"/>
    <w:uiPriority w:val="99"/>
    <w:semiHidden/>
    <w:qFormat/>
    <w:rsid w:val="007c77f3"/>
    <w:pPr>
      <w:widowControl/>
      <w:bidi w:val="0"/>
      <w:spacing w:lineRule="auto" w:line="240" w:before="0" w:after="0"/>
      <w:jc w:val="start"/>
    </w:pPr>
    <w:rPr>
      <w:rFonts w:ascii="Times New Roman" w:hAnsi="Times New Roman" w:eastAsia="Times New Roman" w:cs="Times New Roman"/>
      <w:color w:val="auto"/>
      <w:kern w:val="0"/>
      <w:sz w:val="22"/>
      <w:szCs w:val="20"/>
      <w:lang w:val="lt-LT" w:eastAsia="en-US" w:bidi="ar-SA"/>
    </w:rPr>
  </w:style>
  <w:style w:type="paragraph" w:styleId="Title">
    <w:name w:val="Title"/>
    <w:basedOn w:val="Normal"/>
    <w:link w:val="PavadinimasDiagrama"/>
    <w:qFormat/>
    <w:rsid w:val="000c75e7"/>
    <w:pPr>
      <w:ind w:hanging="0"/>
      <w:jc w:val="center"/>
      <w:textAlignment w:val="auto"/>
    </w:pPr>
    <w:rPr>
      <w:rFonts w:ascii="Times New Roman" w:hAnsi="Times New Roman" w:eastAsia="Times New Roman" w:cs="Times New Roman"/>
      <w:b/>
      <w:bCs/>
      <w:sz w:val="28"/>
      <w:szCs w:val="24"/>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e850f0"/>
    <w:pPr>
      <w:tabs>
        <w:tab w:val="clear" w:pos="1296"/>
        <w:tab w:val="center" w:pos="4819" w:leader="none"/>
        <w:tab w:val="right" w:pos="9638" w:leader="none"/>
      </w:tabs>
      <w:ind w:hanging="0"/>
      <w:textAlignment w:val="auto"/>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154d7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uiPriority w:val="39"/>
    <w:rsid w:val="00ff03df"/>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2">
    <w:name w:val="Lentelės tinklelis2"/>
    <w:basedOn w:val="prastojilentel"/>
    <w:uiPriority w:val="39"/>
    <w:rsid w:val="005c202c"/>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3">
    <w:name w:val="Lentelės tinklelis3"/>
    <w:basedOn w:val="prastojilentel"/>
    <w:uiPriority w:val="39"/>
    <w:rsid w:val="006e1a27"/>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4">
    <w:name w:val="Lentelės tinklelis4"/>
    <w:basedOn w:val="prastojilentel"/>
    <w:uiPriority w:val="39"/>
    <w:rsid w:val="00e60b05"/>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5">
    <w:name w:val="Lentelės tinklelis5"/>
    <w:basedOn w:val="prastojilentel"/>
    <w:uiPriority w:val="39"/>
    <w:rsid w:val="00201fed"/>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6">
    <w:name w:val="Lentelės tinklelis6"/>
    <w:basedOn w:val="prastojilentel"/>
    <w:uiPriority w:val="39"/>
    <w:rsid w:val="00f748db"/>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Application>LibreOffice/24.8.0.3$Windows_X86_64 LibreOffice_project/0bdf1299c94fe897b119f97f3c613e9dca6be583</Application>
  <AppVersion>15.0000</AppVersion>
  <Pages>11</Pages>
  <Words>4592</Words>
  <Characters>31164</Characters>
  <CharactersWithSpaces>35421</CharactersWithSpaces>
  <Paragraphs>570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2026-05-13T06:46:00Z</dcterms:created>
  <dc:creator>Augustinas Zurlys | VMU</dc:creator>
  <dc:description/>
  <dc:language>lt-LT</dc:language>
  <cp:lastModifiedBy>Gintaras Paltanavičius | VMU</cp:lastModifiedBy>
  <cp:lastPrinted>2023-05-09T08:16:00Z</cp:lastPrinted>
  <dcterms:modified xsi:type="dcterms:W3CDTF">2026-05-13T07:25:00Z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